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163B481F"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A1C49">
            <w:t>SCE17</w:t>
          </w:r>
          <w:r w:rsidR="0054422B">
            <w:t>RN024</w:t>
          </w:r>
        </w:sdtContent>
      </w:sdt>
    </w:p>
    <w:bookmarkEnd w:id="0"/>
    <w:p w14:paraId="7601CE2F" w14:textId="3ED7B815" w:rsidR="00DA690B" w:rsidRPr="00500C4E" w:rsidRDefault="0085308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63269" w:rsidRPr="00500C4E">
            <w:rPr>
              <w:rStyle w:val="CaptionChar"/>
              <w:rFonts w:asciiTheme="minorHAnsi" w:hAnsiTheme="minorHAnsi" w:cstheme="minorHAnsi"/>
              <w:b/>
              <w:bCs w:val="0"/>
              <w:sz w:val="48"/>
              <w:szCs w:val="48"/>
            </w:rPr>
            <w:t xml:space="preserve">Revision </w:t>
          </w:r>
          <w:r w:rsidR="00163269">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85308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195C0C7" w:rsidR="00DA690B" w:rsidRPr="00500C4E" w:rsidRDefault="00FC140D" w:rsidP="00DA690B">
      <w:pPr>
        <w:rPr>
          <w:rFonts w:cstheme="minorHAnsi"/>
          <w:b/>
          <w:sz w:val="72"/>
          <w:szCs w:val="72"/>
        </w:rPr>
      </w:pPr>
      <w:r>
        <w:rPr>
          <w:rFonts w:cstheme="minorHAnsi"/>
          <w:b/>
          <w:sz w:val="72"/>
          <w:szCs w:val="72"/>
        </w:rPr>
        <w:t>Refrigerated Storage Auto Closer</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54422B" w:rsidRPr="00500C4E" w14:paraId="4D3A4AB5" w14:textId="77777777" w:rsidTr="00920905">
        <w:trPr>
          <w:trHeight w:val="465"/>
        </w:trPr>
        <w:tc>
          <w:tcPr>
            <w:tcW w:w="1875" w:type="pct"/>
          </w:tcPr>
          <w:p w14:paraId="4D8DADAE" w14:textId="129EB9BE" w:rsidR="0054422B" w:rsidRPr="00920905" w:rsidRDefault="0054422B" w:rsidP="0054422B">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78DC59A1" w14:textId="77777777" w:rsidR="0054422B" w:rsidRDefault="0054422B" w:rsidP="0054422B">
            <w:pPr>
              <w:rPr>
                <w:rFonts w:cs="Arial"/>
                <w:bCs/>
                <w:szCs w:val="20"/>
              </w:rPr>
            </w:pPr>
            <w:r>
              <w:rPr>
                <w:rFonts w:cs="Arial"/>
                <w:szCs w:val="20"/>
              </w:rPr>
              <w:t>RF-16925: Main Cooler Door Auto Closer</w:t>
            </w:r>
          </w:p>
          <w:p w14:paraId="4F4CB7F6" w14:textId="3867764A" w:rsidR="0054422B" w:rsidRPr="00500C4E" w:rsidRDefault="0054422B" w:rsidP="0054422B">
            <w:pPr>
              <w:rPr>
                <w:rFonts w:cs="Arial"/>
                <w:bCs/>
                <w:color w:val="FF0000"/>
                <w:szCs w:val="20"/>
              </w:rPr>
            </w:pPr>
            <w:r>
              <w:rPr>
                <w:rFonts w:cs="Arial"/>
                <w:szCs w:val="20"/>
              </w:rPr>
              <w:t>RF-32156: Main Freezer Door Auto Closer</w:t>
            </w:r>
          </w:p>
        </w:tc>
      </w:tr>
      <w:tr w:rsidR="0054422B" w:rsidRPr="00500C4E" w14:paraId="63B310F0" w14:textId="77777777" w:rsidTr="00920905">
        <w:trPr>
          <w:trHeight w:val="465"/>
        </w:trPr>
        <w:tc>
          <w:tcPr>
            <w:tcW w:w="1875" w:type="pct"/>
          </w:tcPr>
          <w:p w14:paraId="5050E2A3" w14:textId="2CBF1387"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3738D0D8" w:rsidR="0054422B" w:rsidRPr="00500C4E" w:rsidRDefault="0054422B" w:rsidP="0054422B">
            <w:pPr>
              <w:rPr>
                <w:rFonts w:cs="Arial"/>
                <w:color w:val="FF0000"/>
                <w:szCs w:val="20"/>
              </w:rPr>
            </w:pPr>
            <w:r w:rsidRPr="00D14123">
              <w:rPr>
                <w:rFonts w:cstheme="minorHAnsi"/>
                <w:szCs w:val="20"/>
              </w:rPr>
              <w:t xml:space="preserve">Install automatic door closer on walk-in freezer </w:t>
            </w:r>
            <w:r>
              <w:rPr>
                <w:rFonts w:cstheme="minorHAnsi"/>
                <w:szCs w:val="20"/>
              </w:rPr>
              <w:t xml:space="preserve">or cooler </w:t>
            </w:r>
            <w:r w:rsidRPr="00D14123">
              <w:rPr>
                <w:rFonts w:cstheme="minorHAnsi"/>
                <w:szCs w:val="20"/>
              </w:rPr>
              <w:t>doors</w:t>
            </w:r>
          </w:p>
        </w:tc>
      </w:tr>
      <w:tr w:rsidR="0054422B" w:rsidRPr="00500C4E" w14:paraId="085771EF" w14:textId="77777777" w:rsidTr="00920905">
        <w:trPr>
          <w:trHeight w:val="465"/>
        </w:trPr>
        <w:tc>
          <w:tcPr>
            <w:tcW w:w="1875" w:type="pct"/>
          </w:tcPr>
          <w:p w14:paraId="679DB8A0" w14:textId="3D691398"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2C1E6619" w:rsidR="0054422B" w:rsidRPr="00500C4E" w:rsidRDefault="0054422B" w:rsidP="0054422B">
            <w:pPr>
              <w:rPr>
                <w:rFonts w:cs="Arial"/>
                <w:color w:val="FF0000"/>
                <w:szCs w:val="20"/>
              </w:rPr>
            </w:pPr>
            <w:r>
              <w:rPr>
                <w:rFonts w:cstheme="minorHAnsi"/>
                <w:szCs w:val="20"/>
              </w:rPr>
              <w:t xml:space="preserve">Existing </w:t>
            </w:r>
            <w:r w:rsidRPr="00D14123">
              <w:rPr>
                <w:rFonts w:cstheme="minorHAnsi"/>
                <w:szCs w:val="20"/>
              </w:rPr>
              <w:t>walk-in freezer</w:t>
            </w:r>
            <w:r>
              <w:rPr>
                <w:rFonts w:cstheme="minorHAnsi"/>
                <w:szCs w:val="20"/>
              </w:rPr>
              <w:t xml:space="preserve">s or coolers without an automatic door closer </w:t>
            </w:r>
          </w:p>
        </w:tc>
      </w:tr>
      <w:tr w:rsidR="0054422B" w:rsidRPr="00500C4E" w14:paraId="5C218003" w14:textId="77777777" w:rsidTr="00920905">
        <w:trPr>
          <w:trHeight w:val="465"/>
        </w:trPr>
        <w:tc>
          <w:tcPr>
            <w:tcW w:w="1875" w:type="pct"/>
          </w:tcPr>
          <w:p w14:paraId="1DBA889C" w14:textId="032192ED"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16273B15" w:rsidR="0054422B" w:rsidRPr="00500C4E" w:rsidRDefault="0054422B" w:rsidP="0054422B">
            <w:pPr>
              <w:rPr>
                <w:rFonts w:cs="Arial"/>
                <w:color w:val="FF0000"/>
                <w:szCs w:val="20"/>
              </w:rPr>
            </w:pPr>
            <w:r>
              <w:rPr>
                <w:rFonts w:cs="Arial"/>
                <w:szCs w:val="20"/>
              </w:rPr>
              <w:t>Per unit (Freezer or Cooler)</w:t>
            </w:r>
          </w:p>
        </w:tc>
      </w:tr>
      <w:tr w:rsidR="0054422B" w:rsidRPr="00500C4E" w14:paraId="66C8B424" w14:textId="77777777" w:rsidTr="00AE46A0">
        <w:trPr>
          <w:trHeight w:val="465"/>
        </w:trPr>
        <w:tc>
          <w:tcPr>
            <w:tcW w:w="1875" w:type="pct"/>
          </w:tcPr>
          <w:p w14:paraId="0C38E296" w14:textId="625EE0BE" w:rsidR="0054422B" w:rsidRPr="00920905" w:rsidRDefault="0054422B" w:rsidP="0054422B">
            <w:pPr>
              <w:rPr>
                <w:rStyle w:val="Strong1"/>
                <w:szCs w:val="20"/>
              </w:rPr>
            </w:pPr>
            <w:r w:rsidRPr="00500C4E">
              <w:rPr>
                <w:rStyle w:val="Strong"/>
                <w:rFonts w:asciiTheme="minorHAnsi" w:hAnsiTheme="minorHAnsi"/>
                <w:sz w:val="20"/>
                <w:szCs w:val="20"/>
              </w:rPr>
              <w:t>Energy Savings</w:t>
            </w:r>
          </w:p>
        </w:tc>
        <w:tc>
          <w:tcPr>
            <w:tcW w:w="3125" w:type="pct"/>
            <w:shd w:val="clear" w:color="auto" w:fill="auto"/>
          </w:tcPr>
          <w:p w14:paraId="7D5952C1" w14:textId="14EBC183" w:rsidR="0054422B" w:rsidRPr="00163269" w:rsidRDefault="0054422B" w:rsidP="0054422B">
            <w:pPr>
              <w:rPr>
                <w:rFonts w:cs="Arial"/>
                <w:szCs w:val="20"/>
              </w:rPr>
            </w:pPr>
            <w:r w:rsidRPr="00AE46A0">
              <w:rPr>
                <w:rFonts w:cs="Arial"/>
                <w:szCs w:val="20"/>
              </w:rPr>
              <w:t>Refer to Excel Calculation Attachment</w:t>
            </w:r>
            <w:r w:rsidR="00163269" w:rsidRPr="00163269">
              <w:rPr>
                <w:rFonts w:cs="Arial"/>
                <w:szCs w:val="20"/>
              </w:rPr>
              <w:t xml:space="preserve"> 1.</w:t>
            </w:r>
          </w:p>
        </w:tc>
      </w:tr>
      <w:tr w:rsidR="0054422B" w:rsidRPr="00500C4E" w14:paraId="3432D116" w14:textId="77777777" w:rsidTr="00AE46A0">
        <w:trPr>
          <w:trHeight w:val="465"/>
        </w:trPr>
        <w:tc>
          <w:tcPr>
            <w:tcW w:w="1875" w:type="pct"/>
          </w:tcPr>
          <w:p w14:paraId="3CB3B700" w14:textId="30D3563F" w:rsidR="0054422B" w:rsidRPr="00500C4E" w:rsidRDefault="0054422B" w:rsidP="0054422B">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shd w:val="clear" w:color="auto" w:fill="auto"/>
          </w:tcPr>
          <w:p w14:paraId="55804062" w14:textId="336B766A" w:rsidR="0054422B" w:rsidRPr="00AE46A0" w:rsidRDefault="0054422B" w:rsidP="0054422B">
            <w:pPr>
              <w:rPr>
                <w:rFonts w:cs="Arial"/>
                <w:szCs w:val="20"/>
              </w:rPr>
            </w:pPr>
            <w:r w:rsidRPr="00AE46A0">
              <w:rPr>
                <w:rFonts w:cs="Arial"/>
                <w:szCs w:val="20"/>
              </w:rPr>
              <w:t>Refer to Excel Calculation Attachment</w:t>
            </w:r>
            <w:r w:rsidR="00163269" w:rsidRPr="00AE46A0">
              <w:rPr>
                <w:rFonts w:cs="Arial"/>
                <w:szCs w:val="20"/>
              </w:rPr>
              <w:t xml:space="preserve"> 2.</w:t>
            </w:r>
          </w:p>
        </w:tc>
      </w:tr>
      <w:tr w:rsidR="0054422B" w:rsidRPr="00500C4E" w14:paraId="2D16677E" w14:textId="77777777" w:rsidTr="00AE46A0">
        <w:trPr>
          <w:trHeight w:val="465"/>
        </w:trPr>
        <w:tc>
          <w:tcPr>
            <w:tcW w:w="1875" w:type="pct"/>
          </w:tcPr>
          <w:p w14:paraId="1C8BF889" w14:textId="6745F31A"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shd w:val="clear" w:color="auto" w:fill="auto"/>
          </w:tcPr>
          <w:p w14:paraId="40CA5472" w14:textId="740AA6E1" w:rsidR="0054422B" w:rsidRPr="00AE46A0" w:rsidRDefault="0054422B" w:rsidP="0054422B">
            <w:pPr>
              <w:rPr>
                <w:rFonts w:cs="Arial"/>
                <w:szCs w:val="20"/>
              </w:rPr>
            </w:pPr>
            <w:r w:rsidRPr="00AE46A0">
              <w:rPr>
                <w:rFonts w:cs="Arial"/>
                <w:szCs w:val="20"/>
              </w:rPr>
              <w:t>Refer to Excel Calculation Attachment</w:t>
            </w:r>
            <w:r w:rsidR="00163269" w:rsidRPr="00AE46A0">
              <w:rPr>
                <w:rFonts w:cs="Arial"/>
                <w:szCs w:val="20"/>
              </w:rPr>
              <w:t xml:space="preserve"> 2.</w:t>
            </w:r>
          </w:p>
        </w:tc>
      </w:tr>
      <w:tr w:rsidR="0054422B" w:rsidRPr="00500C4E" w14:paraId="466E1409" w14:textId="77777777" w:rsidTr="00920905">
        <w:trPr>
          <w:trHeight w:val="465"/>
        </w:trPr>
        <w:tc>
          <w:tcPr>
            <w:tcW w:w="1875" w:type="pct"/>
          </w:tcPr>
          <w:p w14:paraId="4F8D0A97" w14:textId="25FD4E84"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5AD130FB" w:rsidR="00867D8B" w:rsidRPr="00500C4E" w:rsidRDefault="00867D8B" w:rsidP="00284B34">
            <w:pPr>
              <w:rPr>
                <w:rFonts w:cs="Arial"/>
                <w:color w:val="FF0000"/>
                <w:szCs w:val="20"/>
              </w:rPr>
            </w:pPr>
            <w:r w:rsidRPr="00284B34">
              <w:t>6.67</w:t>
            </w:r>
            <w:r>
              <w:t xml:space="preserve"> years in accordance with Draft Resolution E-4807 [510]</w:t>
            </w:r>
          </w:p>
        </w:tc>
      </w:tr>
      <w:tr w:rsidR="0054422B" w:rsidRPr="00500C4E" w14:paraId="6FFAAB3B" w14:textId="77777777" w:rsidTr="00920905">
        <w:trPr>
          <w:trHeight w:val="465"/>
        </w:trPr>
        <w:tc>
          <w:tcPr>
            <w:tcW w:w="1875" w:type="pct"/>
          </w:tcPr>
          <w:p w14:paraId="080378E9" w14:textId="7C2015E0"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567408C2" w:rsidR="0054422B" w:rsidRPr="00500C4E" w:rsidRDefault="0054422B" w:rsidP="0054422B">
            <w:pPr>
              <w:rPr>
                <w:rFonts w:cs="Arial"/>
                <w:color w:val="FF0000"/>
                <w:szCs w:val="20"/>
              </w:rPr>
            </w:pPr>
            <w:r>
              <w:rPr>
                <w:rFonts w:cs="Arial"/>
                <w:szCs w:val="20"/>
              </w:rPr>
              <w:t>Retrofit Add-On (REA</w:t>
            </w:r>
            <w:r w:rsidRPr="00C9159F">
              <w:rPr>
                <w:rFonts w:cs="Arial"/>
                <w:szCs w:val="20"/>
              </w:rPr>
              <w:t xml:space="preserve">) </w:t>
            </w:r>
          </w:p>
        </w:tc>
      </w:tr>
      <w:tr w:rsidR="0054422B" w:rsidRPr="00500C4E" w14:paraId="2EA80FC2" w14:textId="77777777" w:rsidTr="00920905">
        <w:trPr>
          <w:trHeight w:val="465"/>
        </w:trPr>
        <w:tc>
          <w:tcPr>
            <w:tcW w:w="1875" w:type="pct"/>
          </w:tcPr>
          <w:p w14:paraId="7E87F403" w14:textId="5683C17E" w:rsidR="0054422B" w:rsidRPr="00500C4E" w:rsidRDefault="0054422B" w:rsidP="0054422B">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70D2956E" w14:textId="60EC3D50" w:rsidR="0054422B" w:rsidRDefault="00126163" w:rsidP="0054422B">
            <w:pPr>
              <w:rPr>
                <w:rFonts w:cstheme="minorHAnsi"/>
                <w:szCs w:val="20"/>
              </w:rPr>
            </w:pPr>
            <w:r w:rsidRPr="00550FB9">
              <w:rPr>
                <w:rFonts w:cstheme="minorHAnsi"/>
                <w:szCs w:val="20"/>
              </w:rPr>
              <w:t>Com-Default&gt;2yrs</w:t>
            </w:r>
            <w:r w:rsidRPr="00A614FA">
              <w:rPr>
                <w:rFonts w:cstheme="minorHAnsi"/>
                <w:szCs w:val="20"/>
              </w:rPr>
              <w:t xml:space="preserve"> </w:t>
            </w:r>
            <w:r>
              <w:rPr>
                <w:rFonts w:cstheme="minorHAnsi"/>
                <w:szCs w:val="20"/>
              </w:rPr>
              <w:t>, Agric</w:t>
            </w:r>
            <w:r w:rsidRPr="00550FB9">
              <w:rPr>
                <w:rFonts w:cstheme="minorHAnsi"/>
                <w:szCs w:val="20"/>
              </w:rPr>
              <w:t>-Default&gt;2yrs</w:t>
            </w:r>
            <w:r w:rsidRPr="00A614FA">
              <w:rPr>
                <w:rFonts w:cstheme="minorHAnsi"/>
                <w:szCs w:val="20"/>
              </w:rPr>
              <w:t xml:space="preserve"> </w:t>
            </w:r>
            <w:r>
              <w:rPr>
                <w:rFonts w:cstheme="minorHAnsi"/>
                <w:szCs w:val="20"/>
              </w:rPr>
              <w:t>, and Ind</w:t>
            </w:r>
            <w:r w:rsidRPr="00550FB9">
              <w:rPr>
                <w:rFonts w:cstheme="minorHAnsi"/>
                <w:szCs w:val="20"/>
              </w:rPr>
              <w:t>-Default&gt;2yrs</w:t>
            </w:r>
            <w:r w:rsidRPr="00A614FA">
              <w:rPr>
                <w:rFonts w:cstheme="minorHAnsi"/>
                <w:szCs w:val="20"/>
              </w:rPr>
              <w:t xml:space="preserve"> </w:t>
            </w:r>
            <w:r>
              <w:rPr>
                <w:rFonts w:cstheme="minorHAnsi"/>
                <w:szCs w:val="20"/>
              </w:rPr>
              <w:t xml:space="preserve">= </w:t>
            </w:r>
            <w:r w:rsidR="0054422B" w:rsidRPr="00A614FA">
              <w:rPr>
                <w:rFonts w:cstheme="minorHAnsi"/>
                <w:szCs w:val="20"/>
              </w:rPr>
              <w:t>0.6</w:t>
            </w:r>
            <w:r w:rsidR="00620726">
              <w:rPr>
                <w:rFonts w:cstheme="minorHAnsi"/>
                <w:szCs w:val="20"/>
              </w:rPr>
              <w:t>0</w:t>
            </w:r>
          </w:p>
          <w:p w14:paraId="40A9016A" w14:textId="0AACA0E6" w:rsidR="00126163" w:rsidRPr="00500C4E" w:rsidRDefault="00126163" w:rsidP="0054422B">
            <w:pPr>
              <w:rPr>
                <w:rFonts w:cs="Arial"/>
                <w:color w:val="FF0000"/>
                <w:szCs w:val="20"/>
              </w:rPr>
            </w:pPr>
            <w:r w:rsidRPr="00053B17">
              <w:rPr>
                <w:rFonts w:cstheme="minorHAnsi"/>
                <w:szCs w:val="20"/>
              </w:rPr>
              <w:t>Com-Default-HTR-di</w:t>
            </w:r>
            <w:r>
              <w:rPr>
                <w:rFonts w:cstheme="minorHAnsi"/>
                <w:szCs w:val="20"/>
              </w:rPr>
              <w:t>, Agricult</w:t>
            </w:r>
            <w:r w:rsidRPr="00053B17">
              <w:rPr>
                <w:rFonts w:cstheme="minorHAnsi"/>
                <w:szCs w:val="20"/>
              </w:rPr>
              <w:t>-Default-HTR-di</w:t>
            </w:r>
            <w:r>
              <w:rPr>
                <w:rFonts w:cstheme="minorHAnsi"/>
                <w:szCs w:val="20"/>
              </w:rPr>
              <w:t>, and Ind</w:t>
            </w:r>
            <w:r w:rsidRPr="00053B17">
              <w:rPr>
                <w:rFonts w:cstheme="minorHAnsi"/>
                <w:szCs w:val="20"/>
              </w:rPr>
              <w:t>-Default-HTR-di</w:t>
            </w:r>
            <w:r>
              <w:rPr>
                <w:rFonts w:cstheme="minorHAnsi"/>
                <w:szCs w:val="20"/>
              </w:rPr>
              <w:t xml:space="preserve"> = 0.85</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210"/>
        <w:gridCol w:w="1511"/>
        <w:gridCol w:w="6318"/>
      </w:tblGrid>
      <w:tr w:rsidR="003845E5" w:rsidRPr="00500C4E" w14:paraId="5AFD7FBC" w14:textId="77777777" w:rsidTr="00AE46A0">
        <w:trPr>
          <w:trHeight w:val="20"/>
        </w:trPr>
        <w:tc>
          <w:tcPr>
            <w:tcW w:w="280" w:type="pct"/>
            <w:shd w:val="clear" w:color="auto" w:fill="D9D9D9" w:themeFill="background1" w:themeFillShade="D9"/>
          </w:tcPr>
          <w:p w14:paraId="52E1F882" w14:textId="5B461D80" w:rsidR="00933188" w:rsidRPr="00500C4E" w:rsidRDefault="003845E5" w:rsidP="00AC2AB9">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AC2AB9">
            <w:pPr>
              <w:rPr>
                <w:rFonts w:cstheme="minorHAnsi"/>
                <w:b/>
                <w:bCs/>
                <w:szCs w:val="20"/>
              </w:rPr>
            </w:pPr>
            <w:r w:rsidRPr="00920905">
              <w:rPr>
                <w:rFonts w:cstheme="minorHAnsi"/>
                <w:b/>
                <w:szCs w:val="20"/>
              </w:rPr>
              <w:t>Date</w:t>
            </w:r>
          </w:p>
        </w:tc>
        <w:tc>
          <w:tcPr>
            <w:tcW w:w="789" w:type="pct"/>
            <w:shd w:val="clear" w:color="auto" w:fill="D9D9D9" w:themeFill="background1" w:themeFillShade="D9"/>
          </w:tcPr>
          <w:p w14:paraId="35319158" w14:textId="1CEA4CD6" w:rsidR="00933188" w:rsidRPr="00500C4E" w:rsidRDefault="003845E5" w:rsidP="00AC2AB9">
            <w:pPr>
              <w:rPr>
                <w:rFonts w:cstheme="minorHAnsi"/>
                <w:b/>
                <w:bCs/>
                <w:szCs w:val="20"/>
              </w:rPr>
            </w:pPr>
            <w:r>
              <w:rPr>
                <w:rFonts w:cstheme="minorHAnsi"/>
                <w:b/>
                <w:szCs w:val="20"/>
              </w:rPr>
              <w:t>Author</w:t>
            </w:r>
          </w:p>
        </w:tc>
        <w:tc>
          <w:tcPr>
            <w:tcW w:w="3299" w:type="pct"/>
            <w:shd w:val="clear" w:color="auto" w:fill="D9D9D9" w:themeFill="background1" w:themeFillShade="D9"/>
          </w:tcPr>
          <w:p w14:paraId="49A1B083" w14:textId="77777777" w:rsidR="00933188" w:rsidRPr="00500C4E" w:rsidRDefault="00933188" w:rsidP="00AC2AB9">
            <w:pPr>
              <w:rPr>
                <w:rFonts w:cstheme="minorHAnsi"/>
                <w:b/>
                <w:bCs/>
                <w:szCs w:val="20"/>
              </w:rPr>
            </w:pPr>
            <w:r w:rsidRPr="00920905">
              <w:rPr>
                <w:rFonts w:cstheme="minorHAnsi"/>
                <w:b/>
                <w:szCs w:val="20"/>
              </w:rPr>
              <w:t>Summary of Changes</w:t>
            </w:r>
          </w:p>
        </w:tc>
      </w:tr>
      <w:tr w:rsidR="00AE476A" w:rsidRPr="00500C4E" w14:paraId="78A60224" w14:textId="77777777" w:rsidTr="00AE46A0">
        <w:trPr>
          <w:trHeight w:val="20"/>
        </w:trPr>
        <w:tc>
          <w:tcPr>
            <w:tcW w:w="280" w:type="pct"/>
          </w:tcPr>
          <w:p w14:paraId="4AD2CA26" w14:textId="421D0D5F" w:rsidR="00AE476A" w:rsidRDefault="00163269" w:rsidP="00AC2AB9">
            <w:pPr>
              <w:rPr>
                <w:rFonts w:cstheme="minorHAnsi"/>
                <w:szCs w:val="20"/>
              </w:rPr>
            </w:pPr>
            <w:r>
              <w:rPr>
                <w:rFonts w:cstheme="minorHAnsi"/>
                <w:szCs w:val="20"/>
              </w:rPr>
              <w:t>0</w:t>
            </w:r>
          </w:p>
        </w:tc>
        <w:tc>
          <w:tcPr>
            <w:tcW w:w="632" w:type="pct"/>
          </w:tcPr>
          <w:p w14:paraId="13A1EB8C" w14:textId="74C0D173" w:rsidR="00AE476A" w:rsidRDefault="00AE476A" w:rsidP="00AC2AB9">
            <w:pPr>
              <w:rPr>
                <w:rFonts w:cstheme="minorHAnsi"/>
                <w:szCs w:val="20"/>
              </w:rPr>
            </w:pPr>
            <w:r>
              <w:rPr>
                <w:rFonts w:cstheme="minorHAnsi"/>
                <w:szCs w:val="20"/>
              </w:rPr>
              <w:t>10/23/2016</w:t>
            </w:r>
          </w:p>
        </w:tc>
        <w:tc>
          <w:tcPr>
            <w:tcW w:w="789" w:type="pct"/>
          </w:tcPr>
          <w:p w14:paraId="45D6283C" w14:textId="0F43A416" w:rsidR="00AE476A" w:rsidRDefault="00AE476A" w:rsidP="00AC2AB9">
            <w:pPr>
              <w:rPr>
                <w:rFonts w:cstheme="minorHAnsi"/>
                <w:szCs w:val="20"/>
              </w:rPr>
            </w:pPr>
            <w:r>
              <w:rPr>
                <w:rFonts w:cstheme="minorHAnsi"/>
                <w:szCs w:val="20"/>
              </w:rPr>
              <w:t>Theodore D’Williams/TRC</w:t>
            </w:r>
          </w:p>
        </w:tc>
        <w:tc>
          <w:tcPr>
            <w:tcW w:w="3299" w:type="pct"/>
          </w:tcPr>
          <w:p w14:paraId="286E23E2" w14:textId="6F96D617" w:rsidR="00163269" w:rsidRPr="00437038" w:rsidRDefault="00163269" w:rsidP="00AE476A">
            <w:pPr>
              <w:pStyle w:val="ListParagraph"/>
              <w:numPr>
                <w:ilvl w:val="0"/>
                <w:numId w:val="42"/>
              </w:numPr>
              <w:ind w:left="227" w:hanging="270"/>
              <w:rPr>
                <w:rFonts w:cstheme="minorHAnsi"/>
                <w:bCs/>
                <w:szCs w:val="20"/>
              </w:rPr>
            </w:pPr>
            <w:r>
              <w:rPr>
                <w:rFonts w:cstheme="minorHAnsi"/>
                <w:bCs/>
                <w:szCs w:val="20"/>
              </w:rPr>
              <w:t>This Work paper is a</w:t>
            </w:r>
            <w:r w:rsidR="00437038">
              <w:rPr>
                <w:rFonts w:cstheme="minorHAnsi"/>
                <w:bCs/>
                <w:szCs w:val="20"/>
              </w:rPr>
              <w:t xml:space="preserve">n update </w:t>
            </w:r>
            <w:r>
              <w:rPr>
                <w:rFonts w:cstheme="minorHAnsi"/>
                <w:bCs/>
                <w:szCs w:val="20"/>
              </w:rPr>
              <w:t>of SCE13RN024.3</w:t>
            </w:r>
          </w:p>
          <w:p w14:paraId="7D0ABED6" w14:textId="053A06B4" w:rsidR="00AE476A" w:rsidRPr="00AE476A" w:rsidRDefault="002A10D7" w:rsidP="00AE476A">
            <w:pPr>
              <w:pStyle w:val="ListParagraph"/>
              <w:numPr>
                <w:ilvl w:val="0"/>
                <w:numId w:val="42"/>
              </w:numPr>
              <w:ind w:left="227" w:hanging="270"/>
              <w:rPr>
                <w:rFonts w:cstheme="minorHAnsi"/>
                <w:bCs/>
                <w:szCs w:val="20"/>
              </w:rPr>
            </w:pPr>
            <w:r>
              <w:t>New calculation template for 2</w:t>
            </w:r>
            <w:r w:rsidR="00AE476A">
              <w:t>017</w:t>
            </w:r>
            <w:r>
              <w:t xml:space="preserve"> program year</w:t>
            </w:r>
          </w:p>
          <w:p w14:paraId="3FBD1AD8" w14:textId="77777777" w:rsidR="00AE476A" w:rsidRPr="00867D8B" w:rsidRDefault="00437038" w:rsidP="00867D8B">
            <w:pPr>
              <w:pStyle w:val="ListParagraph"/>
              <w:numPr>
                <w:ilvl w:val="0"/>
                <w:numId w:val="42"/>
              </w:numPr>
              <w:ind w:left="227" w:hanging="270"/>
              <w:rPr>
                <w:rFonts w:cstheme="minorHAnsi"/>
                <w:bCs/>
                <w:szCs w:val="20"/>
              </w:rPr>
            </w:pPr>
            <w:r>
              <w:t>Gross</w:t>
            </w:r>
            <w:r w:rsidR="00BB4596">
              <w:t xml:space="preserve">  </w:t>
            </w:r>
            <w:r w:rsidR="00AE476A">
              <w:t xml:space="preserve">and incremental </w:t>
            </w:r>
            <w:r>
              <w:t xml:space="preserve">measure </w:t>
            </w:r>
            <w:r w:rsidR="00AE476A">
              <w:t>cost</w:t>
            </w:r>
            <w:r w:rsidR="00BB4596">
              <w:t xml:space="preserve">s  </w:t>
            </w:r>
            <w:r w:rsidR="00AE476A">
              <w:t>update</w:t>
            </w:r>
            <w:r w:rsidR="00BB4596">
              <w:t>d</w:t>
            </w:r>
          </w:p>
          <w:p w14:paraId="43D25F7C" w14:textId="0CCD63DA" w:rsidR="00867D8B" w:rsidRPr="00867D8B" w:rsidRDefault="00867D8B" w:rsidP="00867D8B">
            <w:pPr>
              <w:pStyle w:val="ListParagraph"/>
              <w:numPr>
                <w:ilvl w:val="0"/>
                <w:numId w:val="42"/>
              </w:numPr>
              <w:ind w:left="227" w:hanging="270"/>
              <w:rPr>
                <w:rFonts w:cstheme="minorHAnsi"/>
                <w:bCs/>
                <w:szCs w:val="20"/>
              </w:rPr>
            </w:pPr>
            <w:r>
              <w:t>Updated the EUL value in accordance with Draft Resolution E-4807 [510]</w:t>
            </w:r>
          </w:p>
        </w:tc>
      </w:tr>
    </w:tbl>
    <w:p w14:paraId="656E2232" w14:textId="73125A2D"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23AB7D4" w:rsidR="008877AF" w:rsidRPr="0054422B" w:rsidRDefault="008877AF" w:rsidP="00A84BF9">
            <w:pPr>
              <w:rPr>
                <w:bCs/>
              </w:rPr>
            </w:pPr>
          </w:p>
        </w:tc>
        <w:tc>
          <w:tcPr>
            <w:tcW w:w="351" w:type="pct"/>
          </w:tcPr>
          <w:p w14:paraId="23988046" w14:textId="58E7086A" w:rsidR="008877AF" w:rsidRPr="0054422B" w:rsidRDefault="008877AF" w:rsidP="00A84BF9">
            <w:pPr>
              <w:rPr>
                <w:bCs/>
                <w:szCs w:val="20"/>
              </w:rPr>
            </w:pPr>
          </w:p>
        </w:tc>
        <w:tc>
          <w:tcPr>
            <w:tcW w:w="548" w:type="pct"/>
          </w:tcPr>
          <w:p w14:paraId="4AB37DB0" w14:textId="53AAC226" w:rsidR="008877AF" w:rsidRPr="0054422B" w:rsidRDefault="008877AF" w:rsidP="00A84BF9">
            <w:pPr>
              <w:rPr>
                <w:bCs/>
                <w:szCs w:val="20"/>
              </w:rPr>
            </w:pPr>
          </w:p>
        </w:tc>
        <w:tc>
          <w:tcPr>
            <w:tcW w:w="552" w:type="pct"/>
          </w:tcPr>
          <w:p w14:paraId="62E998F6" w14:textId="5905EEE6" w:rsidR="008877AF" w:rsidRPr="0054422B" w:rsidRDefault="008877AF" w:rsidP="00A84BF9">
            <w:pPr>
              <w:rPr>
                <w:bCs/>
                <w:szCs w:val="20"/>
              </w:rPr>
            </w:pPr>
          </w:p>
        </w:tc>
        <w:tc>
          <w:tcPr>
            <w:tcW w:w="1634" w:type="pct"/>
          </w:tcPr>
          <w:p w14:paraId="369DEEE8" w14:textId="1121CEC4" w:rsidR="008877AF" w:rsidRPr="0054422B" w:rsidRDefault="008877AF" w:rsidP="00F25B36">
            <w:pPr>
              <w:pStyle w:val="ListParagraph"/>
              <w:numPr>
                <w:ilvl w:val="0"/>
                <w:numId w:val="33"/>
              </w:numPr>
              <w:rPr>
                <w:bCs/>
                <w:szCs w:val="20"/>
              </w:rPr>
            </w:pPr>
          </w:p>
        </w:tc>
        <w:tc>
          <w:tcPr>
            <w:tcW w:w="1634" w:type="pct"/>
          </w:tcPr>
          <w:p w14:paraId="1ECCFDB6" w14:textId="405ED518" w:rsidR="008877AF" w:rsidRPr="0054422B"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3AE2BFB7"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07845339" w14:textId="7E798B84" w:rsidR="001D3223" w:rsidRPr="00AF7ECA" w:rsidRDefault="00AF7ECA" w:rsidP="001D3223">
      <w:pPr>
        <w:pStyle w:val="Reminders"/>
        <w:tabs>
          <w:tab w:val="num" w:pos="360"/>
        </w:tabs>
        <w:rPr>
          <w:rFonts w:asciiTheme="minorHAnsi" w:hAnsiTheme="minorHAnsi" w:cstheme="minorHAnsi"/>
          <w:i w:val="0"/>
          <w:color w:val="auto"/>
          <w:szCs w:val="22"/>
        </w:rPr>
      </w:pPr>
      <w:r w:rsidRPr="00AF7ECA">
        <w:rPr>
          <w:rFonts w:asciiTheme="minorHAnsi" w:hAnsiTheme="minorHAnsi" w:cstheme="minorHAnsi"/>
          <w:i w:val="0"/>
          <w:color w:val="auto"/>
          <w:szCs w:val="22"/>
        </w:rPr>
        <w:t>This work paper details the Retrofit Add-on (REA) of main door auto closers or walk in freezers and coolers. The measure is to install auto closers on walk-ins where none was present.  The base case of the measure is an existing walk-in cooler or freezer door without a door closer.</w:t>
      </w:r>
    </w:p>
    <w:p w14:paraId="03DE33E5" w14:textId="77777777" w:rsidR="00AF7ECA" w:rsidRPr="00800706" w:rsidRDefault="00AF7ECA" w:rsidP="001D3223">
      <w:pPr>
        <w:pStyle w:val="Reminders"/>
        <w:tabs>
          <w:tab w:val="num" w:pos="360"/>
        </w:tabs>
        <w:rPr>
          <w:rFonts w:asciiTheme="minorHAnsi" w:hAnsiTheme="minorHAnsi" w:cstheme="minorHAnsi"/>
          <w:i w:val="0"/>
          <w:szCs w:val="22"/>
        </w:rPr>
      </w:pPr>
    </w:p>
    <w:p w14:paraId="1FFD38CC" w14:textId="2431E197" w:rsidR="00F171E1" w:rsidRPr="00920905" w:rsidRDefault="00F171E1" w:rsidP="00DA5082">
      <w:pPr>
        <w:pStyle w:val="Caption"/>
        <w:rPr>
          <w:b w:val="0"/>
          <w:szCs w:val="22"/>
        </w:rPr>
      </w:pPr>
      <w:r w:rsidRPr="00920905">
        <w:rPr>
          <w:szCs w:val="22"/>
        </w:rPr>
        <w:t>Base</w:t>
      </w:r>
      <w:r w:rsidR="00506628">
        <w:rPr>
          <w:szCs w:val="22"/>
        </w:rPr>
        <w:t>, Standard</w:t>
      </w:r>
      <w:r w:rsidRPr="00920905">
        <w:rPr>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24DA1BA3" w:rsidR="00D85F09" w:rsidRPr="00920905" w:rsidRDefault="00AF7ECA" w:rsidP="00920905">
            <w:pPr>
              <w:rPr>
                <w:szCs w:val="20"/>
              </w:rPr>
            </w:pPr>
            <w:r>
              <w:rPr>
                <w:rFonts w:cstheme="minorHAnsi"/>
                <w:sz w:val="22"/>
                <w:szCs w:val="22"/>
              </w:rPr>
              <w:t>Install auto closers on walk-ins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62106284" w:rsidR="00D85F09" w:rsidRPr="00920905" w:rsidRDefault="00AF7ECA" w:rsidP="00920905">
            <w:pPr>
              <w:rPr>
                <w:i/>
                <w:szCs w:val="20"/>
              </w:rPr>
            </w:pPr>
            <w:r>
              <w:rPr>
                <w:rFonts w:cstheme="minorHAnsi"/>
                <w:sz w:val="22"/>
                <w:szCs w:val="22"/>
              </w:rPr>
              <w:t>Existing walk-in cooler or freezer door without a door closer</w:t>
            </w:r>
          </w:p>
        </w:tc>
      </w:tr>
      <w:tr w:rsidR="002344FB" w:rsidRPr="00800706" w14:paraId="7FF41B99" w14:textId="77777777" w:rsidTr="00AE46A0">
        <w:trPr>
          <w:trHeight w:val="188"/>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14A2A9D2" w:rsidR="002344FB" w:rsidRPr="00AE46A0" w:rsidRDefault="00AE46A0">
            <w:pPr>
              <w:rPr>
                <w:color w:val="000000" w:themeColor="text1"/>
                <w:szCs w:val="20"/>
              </w:rPr>
            </w:pPr>
            <w:r w:rsidRPr="00AE46A0">
              <w:rPr>
                <w:color w:val="000000" w:themeColor="text1"/>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1AC3703E" w:rsidR="00D85F09" w:rsidRPr="00AE46A0" w:rsidRDefault="00AE46A0" w:rsidP="00920905">
            <w:pPr>
              <w:rPr>
                <w:i/>
                <w:color w:val="000000" w:themeColor="text1"/>
                <w:szCs w:val="20"/>
              </w:rPr>
            </w:pPr>
            <w:r w:rsidRPr="00AE46A0">
              <w:rPr>
                <w:color w:val="000000" w:themeColor="text1"/>
                <w:szCs w:val="20"/>
              </w:rPr>
              <w:t>N/A</w:t>
            </w:r>
          </w:p>
        </w:tc>
      </w:tr>
    </w:tbl>
    <w:p w14:paraId="3D32C2EF" w14:textId="77777777" w:rsidR="00D85F09" w:rsidRPr="00800706" w:rsidRDefault="00D85F09" w:rsidP="00920905">
      <w:pPr>
        <w:pStyle w:val="NoSpacing"/>
      </w:pPr>
    </w:p>
    <w:p w14:paraId="00275FA1" w14:textId="569C4B80" w:rsidR="00AC5309" w:rsidRPr="00800706" w:rsidRDefault="00AC5309" w:rsidP="00DA5082">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A62D7F">
        <w:tc>
          <w:tcPr>
            <w:tcW w:w="2356" w:type="pct"/>
            <w:gridSpan w:val="4"/>
            <w:shd w:val="clear" w:color="auto" w:fill="D9D9D9" w:themeFill="background1" w:themeFillShade="D9"/>
          </w:tcPr>
          <w:p w14:paraId="528E7CD9" w14:textId="048A7F1B" w:rsidR="003A3170" w:rsidRPr="00920905" w:rsidRDefault="003A3170" w:rsidP="00A62D7F">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A62D7F">
            <w:pPr>
              <w:rPr>
                <w:rFonts w:cstheme="minorHAnsi"/>
                <w:b/>
                <w:szCs w:val="20"/>
              </w:rPr>
            </w:pPr>
            <w:r w:rsidRPr="00920905">
              <w:rPr>
                <w:rFonts w:cstheme="minorHAnsi"/>
                <w:b/>
                <w:szCs w:val="20"/>
              </w:rPr>
              <w:t>Measure Name</w:t>
            </w:r>
          </w:p>
        </w:tc>
      </w:tr>
      <w:tr w:rsidR="003A3170" w:rsidRPr="00800706" w14:paraId="0B10C1CA" w14:textId="77777777" w:rsidTr="00A62D7F">
        <w:tc>
          <w:tcPr>
            <w:tcW w:w="539" w:type="pct"/>
            <w:shd w:val="clear" w:color="auto" w:fill="F2F2F2" w:themeFill="background1" w:themeFillShade="F2"/>
          </w:tcPr>
          <w:p w14:paraId="01278571" w14:textId="40286C8C" w:rsidR="003A3170" w:rsidRPr="00800706" w:rsidRDefault="003A3170" w:rsidP="00A62D7F">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A62D7F">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A62D7F">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A62D7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A62D7F">
            <w:pPr>
              <w:rPr>
                <w:rFonts w:cstheme="minorHAnsi"/>
                <w:szCs w:val="20"/>
              </w:rPr>
            </w:pPr>
          </w:p>
        </w:tc>
      </w:tr>
      <w:tr w:rsidR="00AF7ECA" w:rsidRPr="00800706" w14:paraId="0290ADBE" w14:textId="77777777" w:rsidTr="00A62D7F">
        <w:trPr>
          <w:trHeight w:val="243"/>
        </w:trPr>
        <w:tc>
          <w:tcPr>
            <w:tcW w:w="539" w:type="pct"/>
          </w:tcPr>
          <w:p w14:paraId="1CE709CC" w14:textId="56A07DA7" w:rsidR="00AF7ECA" w:rsidRPr="00920905" w:rsidRDefault="00E52DF5" w:rsidP="00A62D7F">
            <w:pPr>
              <w:rPr>
                <w:rFonts w:cstheme="minorHAnsi"/>
                <w:color w:val="FF0000"/>
                <w:szCs w:val="20"/>
              </w:rPr>
            </w:pPr>
            <w:r w:rsidRPr="00E52DF5">
              <w:rPr>
                <w:rFonts w:cstheme="minorHAnsi"/>
                <w:szCs w:val="20"/>
              </w:rPr>
              <w:t>n/a</w:t>
            </w:r>
          </w:p>
        </w:tc>
        <w:tc>
          <w:tcPr>
            <w:tcW w:w="539" w:type="pct"/>
          </w:tcPr>
          <w:p w14:paraId="666F9F6A" w14:textId="77777777" w:rsidR="00AF7ECA" w:rsidRPr="00920905" w:rsidRDefault="00AF7ECA" w:rsidP="00A62D7F">
            <w:pPr>
              <w:rPr>
                <w:rFonts w:cstheme="minorHAnsi"/>
                <w:color w:val="FF0000"/>
                <w:szCs w:val="20"/>
              </w:rPr>
            </w:pPr>
          </w:p>
        </w:tc>
        <w:tc>
          <w:tcPr>
            <w:tcW w:w="605" w:type="pct"/>
          </w:tcPr>
          <w:p w14:paraId="63438A36" w14:textId="209D5E4E" w:rsidR="00AF7ECA" w:rsidRPr="00920905" w:rsidRDefault="00AF7ECA" w:rsidP="00A62D7F">
            <w:pPr>
              <w:rPr>
                <w:rFonts w:cstheme="minorHAnsi"/>
                <w:color w:val="FF0000"/>
                <w:szCs w:val="20"/>
              </w:rPr>
            </w:pPr>
            <w:bookmarkStart w:id="8" w:name="OLE_LINK1"/>
            <w:r>
              <w:rPr>
                <w:szCs w:val="20"/>
              </w:rPr>
              <w:t>RF-16925</w:t>
            </w:r>
            <w:r w:rsidRPr="000B6BF7">
              <w:rPr>
                <w:szCs w:val="20"/>
              </w:rPr>
              <w:t xml:space="preserve"> </w:t>
            </w:r>
            <w:bookmarkEnd w:id="8"/>
          </w:p>
        </w:tc>
        <w:tc>
          <w:tcPr>
            <w:tcW w:w="673" w:type="pct"/>
          </w:tcPr>
          <w:p w14:paraId="311A1841" w14:textId="7FD6A966" w:rsidR="00AF7ECA" w:rsidRPr="00920905" w:rsidRDefault="00AF7ECA" w:rsidP="00A62D7F">
            <w:pPr>
              <w:rPr>
                <w:rFonts w:cstheme="minorHAnsi"/>
                <w:color w:val="FF0000"/>
                <w:szCs w:val="20"/>
              </w:rPr>
            </w:pPr>
          </w:p>
        </w:tc>
        <w:tc>
          <w:tcPr>
            <w:tcW w:w="2644" w:type="pct"/>
          </w:tcPr>
          <w:p w14:paraId="512138E6" w14:textId="5232B6E8" w:rsidR="00AF7ECA" w:rsidRPr="00920905" w:rsidRDefault="00AF7ECA" w:rsidP="00A62D7F">
            <w:pPr>
              <w:rPr>
                <w:color w:val="FF0000"/>
              </w:rPr>
            </w:pPr>
            <w:r w:rsidRPr="00D14123">
              <w:rPr>
                <w:rFonts w:cstheme="minorHAnsi"/>
                <w:szCs w:val="20"/>
              </w:rPr>
              <w:t>Main Cooler Door Auto Closer</w:t>
            </w:r>
          </w:p>
        </w:tc>
      </w:tr>
      <w:tr w:rsidR="00AF7ECA" w:rsidRPr="00800706" w14:paraId="3EC8DDF0" w14:textId="77777777" w:rsidTr="00A62D7F">
        <w:trPr>
          <w:trHeight w:val="243"/>
        </w:trPr>
        <w:tc>
          <w:tcPr>
            <w:tcW w:w="539" w:type="pct"/>
          </w:tcPr>
          <w:p w14:paraId="036611DE" w14:textId="66014DB3" w:rsidR="00AF7ECA" w:rsidRPr="00350BF1" w:rsidRDefault="00E52DF5" w:rsidP="00A62D7F">
            <w:pPr>
              <w:rPr>
                <w:rFonts w:cstheme="minorHAnsi"/>
                <w:szCs w:val="20"/>
              </w:rPr>
            </w:pPr>
            <w:r>
              <w:rPr>
                <w:rFonts w:cstheme="minorHAnsi"/>
                <w:szCs w:val="20"/>
              </w:rPr>
              <w:t>n/a</w:t>
            </w:r>
          </w:p>
        </w:tc>
        <w:tc>
          <w:tcPr>
            <w:tcW w:w="539" w:type="pct"/>
          </w:tcPr>
          <w:p w14:paraId="7DC81BD5" w14:textId="77777777" w:rsidR="00AF7ECA" w:rsidRPr="00350BF1" w:rsidRDefault="00AF7ECA" w:rsidP="00A62D7F">
            <w:pPr>
              <w:rPr>
                <w:rFonts w:cstheme="minorHAnsi"/>
                <w:szCs w:val="20"/>
              </w:rPr>
            </w:pPr>
          </w:p>
        </w:tc>
        <w:tc>
          <w:tcPr>
            <w:tcW w:w="605" w:type="pct"/>
          </w:tcPr>
          <w:p w14:paraId="00E0B555" w14:textId="50379832" w:rsidR="00AF7ECA" w:rsidRPr="00350BF1" w:rsidRDefault="00AF7ECA" w:rsidP="00A62D7F">
            <w:pPr>
              <w:rPr>
                <w:rFonts w:cstheme="minorHAnsi"/>
                <w:szCs w:val="20"/>
              </w:rPr>
            </w:pPr>
            <w:r>
              <w:rPr>
                <w:szCs w:val="20"/>
              </w:rPr>
              <w:t>RF-32156</w:t>
            </w:r>
            <w:r w:rsidRPr="000B6BF7">
              <w:rPr>
                <w:szCs w:val="20"/>
              </w:rPr>
              <w:t xml:space="preserve"> </w:t>
            </w:r>
          </w:p>
        </w:tc>
        <w:tc>
          <w:tcPr>
            <w:tcW w:w="673" w:type="pct"/>
          </w:tcPr>
          <w:p w14:paraId="479924EB" w14:textId="77777777" w:rsidR="00AF7ECA" w:rsidRPr="00350BF1" w:rsidRDefault="00AF7ECA" w:rsidP="00A62D7F">
            <w:pPr>
              <w:rPr>
                <w:rFonts w:cstheme="minorHAnsi"/>
                <w:szCs w:val="20"/>
              </w:rPr>
            </w:pPr>
          </w:p>
        </w:tc>
        <w:tc>
          <w:tcPr>
            <w:tcW w:w="2644" w:type="pct"/>
          </w:tcPr>
          <w:p w14:paraId="592A1733" w14:textId="7E9FCB54" w:rsidR="00AF7ECA" w:rsidRPr="00920905" w:rsidRDefault="00AF7ECA" w:rsidP="00A62D7F">
            <w:r w:rsidRPr="00D14123">
              <w:rPr>
                <w:rFonts w:cstheme="minorHAnsi"/>
                <w:szCs w:val="20"/>
              </w:rPr>
              <w:t>Main Freezer Door Auto Closer</w:t>
            </w:r>
          </w:p>
        </w:tc>
      </w:tr>
    </w:tbl>
    <w:p w14:paraId="0066181D" w14:textId="77777777" w:rsidR="00AF7ECA" w:rsidRPr="00AF7ECA" w:rsidRDefault="00AF7ECA" w:rsidP="00AF7ECA">
      <w:pPr>
        <w:rPr>
          <w:rFonts w:cstheme="minorHAnsi"/>
          <w:szCs w:val="22"/>
        </w:rPr>
      </w:pPr>
    </w:p>
    <w:p w14:paraId="169130D3" w14:textId="77777777" w:rsidR="00AF7ECA" w:rsidRDefault="00AF7ECA" w:rsidP="00AF7ECA">
      <w:pPr>
        <w:rPr>
          <w:rFonts w:cstheme="minorHAnsi"/>
          <w:szCs w:val="22"/>
        </w:rPr>
      </w:pPr>
      <w:r w:rsidRPr="00E158F8">
        <w:rPr>
          <w:rFonts w:cstheme="minorHAnsi"/>
          <w:b/>
          <w:szCs w:val="22"/>
        </w:rPr>
        <w:t>Eligibility Requirements</w:t>
      </w:r>
    </w:p>
    <w:p w14:paraId="5B0ADD07" w14:textId="77777777" w:rsidR="00AF7ECA" w:rsidRDefault="00AF7ECA" w:rsidP="00AF7ECA">
      <w:pPr>
        <w:pStyle w:val="ListParagraph"/>
        <w:numPr>
          <w:ilvl w:val="0"/>
          <w:numId w:val="35"/>
        </w:numPr>
        <w:rPr>
          <w:rFonts w:cstheme="minorHAnsi"/>
          <w:szCs w:val="22"/>
        </w:rPr>
      </w:pPr>
      <w:r>
        <w:rPr>
          <w:rFonts w:cstheme="minorHAnsi"/>
          <w:szCs w:val="22"/>
        </w:rPr>
        <w:t>The auto-closer must be applied to the main insulated opaque door(s) of an existing walk-in cooler or freezer.</w:t>
      </w:r>
    </w:p>
    <w:p w14:paraId="4ACE2F3B" w14:textId="77777777" w:rsidR="00AF7ECA" w:rsidRDefault="00AF7ECA" w:rsidP="00AF7ECA">
      <w:pPr>
        <w:pStyle w:val="ListParagraph"/>
        <w:numPr>
          <w:ilvl w:val="0"/>
          <w:numId w:val="35"/>
        </w:numPr>
        <w:rPr>
          <w:rFonts w:cstheme="minorHAnsi"/>
          <w:szCs w:val="22"/>
        </w:rPr>
      </w:pPr>
      <w:r>
        <w:rPr>
          <w:rFonts w:cstheme="minorHAnsi"/>
          <w:szCs w:val="22"/>
        </w:rPr>
        <w:t>The auto-closer must firmly close that door when it is within one inch of full closure.</w:t>
      </w:r>
    </w:p>
    <w:p w14:paraId="467072EF" w14:textId="62F6D488" w:rsidR="00AF7ECA" w:rsidRDefault="00AF7ECA" w:rsidP="00AF7ECA">
      <w:pPr>
        <w:pStyle w:val="ListParagraph"/>
        <w:numPr>
          <w:ilvl w:val="0"/>
          <w:numId w:val="35"/>
        </w:numPr>
      </w:pPr>
      <w:r>
        <w:rPr>
          <w:rFonts w:cstheme="minorHAnsi"/>
          <w:szCs w:val="22"/>
        </w:rPr>
        <w:t>Auto-closer must be installed on a walk-in cooler or freezer manufactured before January 1, 2009.</w:t>
      </w:r>
    </w:p>
    <w:p w14:paraId="4CD8E078" w14:textId="68DA1AFC" w:rsidR="00AF7ECA"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036A9172" w14:textId="2D65CDCB" w:rsidR="00AF7ECA" w:rsidRPr="00AF7ECA" w:rsidRDefault="00AF7ECA" w:rsidP="00AF7ECA">
      <w:r>
        <w:rPr>
          <w:rFonts w:cstheme="minorHAnsi"/>
          <w:szCs w:val="22"/>
        </w:rPr>
        <w:t xml:space="preserve">Auto-closers on walk-in freezers and coolers can reduce the amount of time that doors are open, thereby reducing infiltration and refrigeration loads.  </w:t>
      </w:r>
      <w:r w:rsidRPr="009725DE">
        <w:rPr>
          <w:rFonts w:cstheme="minorHAnsi"/>
          <w:szCs w:val="22"/>
        </w:rPr>
        <w:t>The measures in this work</w:t>
      </w:r>
      <w:r>
        <w:rPr>
          <w:rFonts w:cstheme="minorHAnsi"/>
          <w:szCs w:val="22"/>
        </w:rPr>
        <w:t xml:space="preserve"> </w:t>
      </w:r>
      <w:r w:rsidRPr="009725DE">
        <w:rPr>
          <w:rFonts w:cstheme="minorHAnsi"/>
          <w:szCs w:val="22"/>
        </w:rPr>
        <w:t xml:space="preserve">paper are from DEER </w:t>
      </w:r>
      <w:r>
        <w:rPr>
          <w:rFonts w:cstheme="minorHAnsi"/>
          <w:szCs w:val="22"/>
        </w:rPr>
        <w:t xml:space="preserve">2005 which </w:t>
      </w:r>
      <w:r w:rsidRPr="005D567E">
        <w:rPr>
          <w:rFonts w:cstheme="minorHAnsi"/>
          <w:szCs w:val="22"/>
        </w:rPr>
        <w:t xml:space="preserve">assumes that auto-closers reduce infiltration by 40% on average.  However, to update the measure to </w:t>
      </w:r>
      <w:r w:rsidR="00AD367F" w:rsidRPr="005D567E">
        <w:rPr>
          <w:rFonts w:cstheme="minorHAnsi"/>
          <w:szCs w:val="22"/>
        </w:rPr>
        <w:t xml:space="preserve">Title </w:t>
      </w:r>
      <w:r w:rsidR="00C71986" w:rsidRPr="005D567E">
        <w:rPr>
          <w:rFonts w:cstheme="minorHAnsi"/>
          <w:szCs w:val="22"/>
        </w:rPr>
        <w:t>2</w:t>
      </w:r>
      <w:r w:rsidR="00ED1C02">
        <w:rPr>
          <w:rFonts w:cstheme="minorHAnsi"/>
          <w:szCs w:val="22"/>
        </w:rPr>
        <w:t>0</w:t>
      </w:r>
      <w:r w:rsidR="00C71986" w:rsidRPr="005D567E">
        <w:rPr>
          <w:rFonts w:cstheme="minorHAnsi"/>
          <w:szCs w:val="22"/>
        </w:rPr>
        <w:t xml:space="preserve"> (</w:t>
      </w:r>
      <w:r w:rsidRPr="005D567E">
        <w:rPr>
          <w:rFonts w:cstheme="minorHAnsi"/>
          <w:szCs w:val="22"/>
        </w:rPr>
        <w:t>201</w:t>
      </w:r>
      <w:r w:rsidR="005D567E">
        <w:rPr>
          <w:rFonts w:cstheme="minorHAnsi"/>
          <w:szCs w:val="22"/>
        </w:rPr>
        <w:t>4</w:t>
      </w:r>
      <w:r w:rsidR="00C71986" w:rsidRPr="005D567E">
        <w:rPr>
          <w:rFonts w:cstheme="minorHAnsi"/>
          <w:szCs w:val="22"/>
        </w:rPr>
        <w:t>)</w:t>
      </w:r>
      <w:r w:rsidRPr="005D567E">
        <w:rPr>
          <w:rFonts w:cstheme="minorHAnsi"/>
          <w:szCs w:val="22"/>
        </w:rPr>
        <w:t xml:space="preserve"> </w:t>
      </w:r>
      <w:r w:rsidR="00C71986" w:rsidRPr="005D567E">
        <w:rPr>
          <w:rFonts w:cstheme="minorHAnsi"/>
          <w:szCs w:val="22"/>
        </w:rPr>
        <w:t>compliance</w:t>
      </w:r>
      <w:r>
        <w:rPr>
          <w:rFonts w:cstheme="minorHAnsi"/>
          <w:szCs w:val="22"/>
        </w:rPr>
        <w:t>, t</w:t>
      </w:r>
      <w:r w:rsidRPr="00C24B8C">
        <w:rPr>
          <w:rFonts w:cstheme="minorHAnsi"/>
          <w:szCs w:val="22"/>
        </w:rPr>
        <w:t xml:space="preserve">he </w:t>
      </w:r>
      <w:r w:rsidR="00AD367F">
        <w:rPr>
          <w:rFonts w:cstheme="minorHAnsi"/>
          <w:szCs w:val="22"/>
        </w:rPr>
        <w:t xml:space="preserve">customer average, </w:t>
      </w:r>
      <w:r w:rsidRPr="00C24B8C">
        <w:rPr>
          <w:rFonts w:cstheme="minorHAnsi"/>
          <w:szCs w:val="22"/>
        </w:rPr>
        <w:t xml:space="preserve">C13 </w:t>
      </w:r>
      <w:r w:rsidR="00AD367F">
        <w:rPr>
          <w:rFonts w:cstheme="minorHAnsi"/>
          <w:szCs w:val="22"/>
        </w:rPr>
        <w:t xml:space="preserve">(Code 13) </w:t>
      </w:r>
      <w:r w:rsidRPr="00C24B8C">
        <w:rPr>
          <w:rFonts w:cstheme="minorHAnsi"/>
          <w:szCs w:val="22"/>
        </w:rPr>
        <w:t>case model was used as the baseline for this work paper</w:t>
      </w:r>
      <w:r w:rsidRPr="009725DE">
        <w:rPr>
          <w:rFonts w:cstheme="minorHAnsi"/>
          <w:szCs w:val="22"/>
        </w:rPr>
        <w:t>.</w:t>
      </w:r>
      <w:r>
        <w:rPr>
          <w:rFonts w:cstheme="minorHAnsi"/>
          <w:szCs w:val="22"/>
        </w:rPr>
        <w:t xml:space="preserve"> </w:t>
      </w:r>
      <w:r w:rsidRPr="009725DE">
        <w:rPr>
          <w:rFonts w:cstheme="minorHAnsi"/>
          <w:szCs w:val="22"/>
        </w:rPr>
        <w:t xml:space="preserve">The </w:t>
      </w:r>
      <w:r>
        <w:rPr>
          <w:rFonts w:cstheme="minorHAnsi"/>
          <w:szCs w:val="22"/>
        </w:rPr>
        <w:t>base case of the measure is an existing walk-in cooler or freezer door without a door closer.</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49221CF7" w14:textId="77777777" w:rsidR="00AF7ECA" w:rsidRPr="00C02E31" w:rsidRDefault="00AF7ECA" w:rsidP="00AF7ECA">
      <w:pPr>
        <w:rPr>
          <w:rFonts w:ascii="Calibri" w:hAnsi="Calibri"/>
          <w:szCs w:val="22"/>
        </w:rPr>
      </w:pPr>
      <w:r w:rsidRPr="00C02E31">
        <w:rPr>
          <w:rFonts w:ascii="Calibri" w:hAnsi="Calibri"/>
          <w:szCs w:val="22"/>
        </w:rPr>
        <w:t>The program/install types for the above measures are:</w:t>
      </w:r>
    </w:p>
    <w:p w14:paraId="3CBE1AF4" w14:textId="77777777" w:rsidR="00AF7ECA" w:rsidRPr="00B42489" w:rsidRDefault="00AF7ECA" w:rsidP="00AF7ECA">
      <w:pPr>
        <w:pStyle w:val="ListParagraph"/>
        <w:numPr>
          <w:ilvl w:val="0"/>
          <w:numId w:val="38"/>
        </w:numPr>
        <w:rPr>
          <w:rFonts w:ascii="Calibri" w:hAnsi="Calibri"/>
          <w:szCs w:val="22"/>
        </w:rPr>
      </w:pPr>
      <w:r w:rsidRPr="00B42489">
        <w:rPr>
          <w:rFonts w:cstheme="minorHAnsi"/>
          <w:szCs w:val="22"/>
        </w:rPr>
        <w:t>Retrofit Add-on (REA)</w:t>
      </w:r>
    </w:p>
    <w:p w14:paraId="641CD9B5" w14:textId="77777777" w:rsidR="00AF7ECA" w:rsidRPr="00C02E31" w:rsidRDefault="00AF7ECA" w:rsidP="00AF7ECA">
      <w:pPr>
        <w:rPr>
          <w:rFonts w:ascii="Calibri" w:hAnsi="Calibri"/>
          <w:szCs w:val="22"/>
        </w:rPr>
      </w:pPr>
      <w:r w:rsidRPr="00C02E31">
        <w:rPr>
          <w:rFonts w:ascii="Calibri" w:hAnsi="Calibri"/>
          <w:szCs w:val="22"/>
        </w:rPr>
        <w:t xml:space="preserve">The delivery method that </w:t>
      </w:r>
      <w:r>
        <w:rPr>
          <w:rFonts w:ascii="Calibri" w:hAnsi="Calibri"/>
          <w:szCs w:val="22"/>
        </w:rPr>
        <w:t>is</w:t>
      </w:r>
      <w:r w:rsidRPr="00C02E31">
        <w:rPr>
          <w:rFonts w:ascii="Calibri" w:hAnsi="Calibri"/>
          <w:szCs w:val="22"/>
        </w:rPr>
        <w:t xml:space="preserve"> available for these measures </w:t>
      </w:r>
      <w:r>
        <w:rPr>
          <w:rFonts w:ascii="Calibri" w:hAnsi="Calibri"/>
          <w:szCs w:val="22"/>
        </w:rPr>
        <w:t>is</w:t>
      </w:r>
      <w:r w:rsidRPr="00C02E31">
        <w:rPr>
          <w:rFonts w:ascii="Calibri" w:hAnsi="Calibri"/>
          <w:szCs w:val="22"/>
        </w:rPr>
        <w:t>:</w:t>
      </w:r>
    </w:p>
    <w:p w14:paraId="41D8D124" w14:textId="77777777" w:rsidR="00AF7ECA" w:rsidRPr="00B42489" w:rsidRDefault="00AF7ECA" w:rsidP="00AF7ECA">
      <w:pPr>
        <w:pStyle w:val="Reminders"/>
        <w:numPr>
          <w:ilvl w:val="0"/>
          <w:numId w:val="37"/>
        </w:numPr>
        <w:rPr>
          <w:rFonts w:ascii="Calibri" w:hAnsi="Calibri" w:cs="Calibri"/>
          <w:i w:val="0"/>
          <w:color w:val="auto"/>
          <w:szCs w:val="22"/>
        </w:rPr>
      </w:pPr>
      <w:r w:rsidRPr="00C02E31">
        <w:rPr>
          <w:rFonts w:ascii="Calibri" w:hAnsi="Calibri"/>
          <w:i w:val="0"/>
          <w:color w:val="auto"/>
          <w:szCs w:val="22"/>
        </w:rPr>
        <w:t xml:space="preserve">Financial Support - Down-Stream Incentive – Deemed </w:t>
      </w:r>
    </w:p>
    <w:p w14:paraId="6305B922" w14:textId="448EFF43" w:rsidR="0064729D" w:rsidRPr="00AF7ECA" w:rsidRDefault="00AF7ECA" w:rsidP="00AF7ECA">
      <w:pPr>
        <w:pStyle w:val="Reminders"/>
        <w:numPr>
          <w:ilvl w:val="0"/>
          <w:numId w:val="37"/>
        </w:numPr>
        <w:rPr>
          <w:rFonts w:ascii="Calibri" w:hAnsi="Calibri" w:cs="Calibri"/>
          <w:i w:val="0"/>
          <w:color w:val="auto"/>
          <w:szCs w:val="22"/>
        </w:rPr>
      </w:pPr>
      <w:r w:rsidRPr="00C02E31">
        <w:rPr>
          <w:rFonts w:ascii="Calibri" w:hAnsi="Calibri"/>
          <w:i w:val="0"/>
          <w:color w:val="auto"/>
          <w:szCs w:val="22"/>
        </w:rPr>
        <w:t xml:space="preserve">Financial Support - </w:t>
      </w:r>
      <w:r w:rsidRPr="00B42489">
        <w:rPr>
          <w:rFonts w:ascii="Calibri" w:hAnsi="Calibri" w:cs="Calibri"/>
          <w:i w:val="0"/>
          <w:color w:val="auto"/>
          <w:szCs w:val="22"/>
        </w:rPr>
        <w:t>Direct Install</w:t>
      </w:r>
    </w:p>
    <w:p w14:paraId="40DD79B5" w14:textId="77777777" w:rsidR="00AF7ECA" w:rsidRDefault="00AF7ECA" w:rsidP="00697868">
      <w:pPr>
        <w:pStyle w:val="Reminders"/>
        <w:tabs>
          <w:tab w:val="num" w:pos="360"/>
        </w:tabs>
        <w:rPr>
          <w:rFonts w:asciiTheme="minorHAnsi" w:hAnsiTheme="minorHAnsi" w:cstheme="minorHAnsi"/>
          <w:i w:val="0"/>
          <w:szCs w:val="22"/>
        </w:rPr>
      </w:pPr>
    </w:p>
    <w:p w14:paraId="3CE37725" w14:textId="77777777" w:rsidR="00AF7ECA" w:rsidRDefault="00AF7ECA" w:rsidP="00697868">
      <w:pPr>
        <w:pStyle w:val="Reminders"/>
        <w:tabs>
          <w:tab w:val="num" w:pos="360"/>
        </w:tabs>
        <w:rPr>
          <w:rFonts w:asciiTheme="minorHAnsi" w:hAnsiTheme="minorHAnsi" w:cstheme="minorHAnsi"/>
          <w:i w:val="0"/>
          <w:szCs w:val="22"/>
        </w:rPr>
      </w:pPr>
    </w:p>
    <w:p w14:paraId="31BC2164" w14:textId="77777777" w:rsidR="00AF7ECA" w:rsidRPr="00500C4E" w:rsidRDefault="00AF7ECA" w:rsidP="00697868">
      <w:pPr>
        <w:pStyle w:val="Reminders"/>
        <w:tabs>
          <w:tab w:val="num" w:pos="360"/>
        </w:tabs>
        <w:rPr>
          <w:rFonts w:asciiTheme="minorHAnsi" w:hAnsiTheme="minorHAnsi" w:cstheme="minorHAnsi"/>
          <w:i w:val="0"/>
          <w:szCs w:val="22"/>
        </w:rPr>
      </w:pPr>
    </w:p>
    <w:p w14:paraId="6D9C3B45" w14:textId="2B0913E6" w:rsidR="001B2301" w:rsidRPr="00920905" w:rsidRDefault="00C05AAF" w:rsidP="00DA5082">
      <w:pPr>
        <w:pStyle w:val="Caption"/>
        <w:rPr>
          <w:rFonts w:cstheme="minorHAnsi"/>
          <w:b w:val="0"/>
          <w:i/>
        </w:rPr>
      </w:pPr>
      <w:r w:rsidRPr="00920905">
        <w:lastRenderedPageBreak/>
        <w:t>Installation Type</w:t>
      </w:r>
      <w:r w:rsidR="002469DD" w:rsidRPr="00920905">
        <w:t xml:space="preserve"> </w:t>
      </w:r>
      <w:r w:rsidR="006F1B21" w:rsidRPr="00920905">
        <w:t>D</w:t>
      </w:r>
      <w:r w:rsidR="002469DD" w:rsidRPr="00920905">
        <w:t>escription</w:t>
      </w:r>
      <w:r w:rsidR="006F1B21" w:rsidRPr="00920905">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164D1ACD" w:rsidR="006F1B21" w:rsidRPr="00500C4E" w:rsidRDefault="006F1B21" w:rsidP="00E5625D">
            <w:pPr>
              <w:rPr>
                <w:sz w:val="18"/>
                <w:szCs w:val="18"/>
              </w:rPr>
            </w:pP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2709DF73" w:rsidR="006F1B21" w:rsidRPr="00500C4E" w:rsidRDefault="006F1B21" w:rsidP="00E5625D">
            <w:pPr>
              <w:rPr>
                <w:sz w:val="18"/>
                <w:szCs w:val="18"/>
              </w:rPr>
            </w:pP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6403AD66" w:rsidR="00C05AAF" w:rsidRPr="00500C4E" w:rsidRDefault="00AA16C0" w:rsidP="00DA5082">
      <w:pPr>
        <w:pStyle w:val="Caption"/>
      </w:pPr>
      <w:r w:rsidRPr="00DE77D0">
        <w:t>Delivery Me</w:t>
      </w:r>
      <w:r>
        <w:t>thod</w:t>
      </w:r>
      <w:r w:rsidRPr="00DE77D0">
        <w:t xml:space="preserve"> </w:t>
      </w:r>
      <w:r>
        <w:t>D</w:t>
      </w:r>
      <w:r w:rsidRPr="00DE77D0">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10FD2838" w:rsidR="00AA16C0" w:rsidRPr="00500C4E" w:rsidRDefault="00AA16C0" w:rsidP="00DA5082">
      <w:pPr>
        <w:pStyle w:val="Caption"/>
      </w:pPr>
      <w:r>
        <w:t>Incentive</w:t>
      </w:r>
      <w:r w:rsidRPr="00DE77D0">
        <w:t xml:space="preserve"> Me</w:t>
      </w:r>
      <w:r>
        <w:t>thod</w:t>
      </w:r>
      <w:r w:rsidRPr="00DE77D0">
        <w:t xml:space="preserve"> </w:t>
      </w:r>
      <w:r>
        <w:t>D</w:t>
      </w:r>
      <w:r w:rsidRPr="00DE77D0">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2EEDC29A" w14:textId="5B35EF91" w:rsidR="00AF7ECA" w:rsidRPr="00AF7ECA" w:rsidRDefault="00AF7ECA" w:rsidP="00AF7ECA">
      <w:pPr>
        <w:rPr>
          <w:rFonts w:cstheme="minorHAnsi"/>
          <w:szCs w:val="22"/>
        </w:rPr>
      </w:pPr>
      <w:r w:rsidRPr="00B32FBB">
        <w:rPr>
          <w:rFonts w:cstheme="minorHAnsi"/>
          <w:szCs w:val="22"/>
        </w:rPr>
        <w:t xml:space="preserve">The </w:t>
      </w:r>
      <w:r w:rsidR="00172BC7">
        <w:rPr>
          <w:rFonts w:cstheme="minorHAnsi"/>
          <w:szCs w:val="22"/>
        </w:rPr>
        <w:t>DEER Version 2014 1</w:t>
      </w:r>
      <w:r w:rsidR="00172BC7" w:rsidRPr="007B086C">
        <w:rPr>
          <w:rFonts w:cstheme="minorHAnsi"/>
          <w:szCs w:val="22"/>
        </w:rPr>
        <w:t>.0</w:t>
      </w:r>
      <w:r w:rsidR="00172BC7">
        <w:rPr>
          <w:rFonts w:cstheme="minorHAnsi"/>
          <w:szCs w:val="22"/>
        </w:rPr>
        <w:t xml:space="preserve">.5 [386] </w:t>
      </w:r>
      <w:r w:rsidRPr="00172BC7">
        <w:rPr>
          <w:rFonts w:cstheme="minorHAnsi"/>
          <w:szCs w:val="22"/>
        </w:rPr>
        <w:t>database</w:t>
      </w:r>
      <w:r w:rsidRPr="007B086C">
        <w:rPr>
          <w:rFonts w:cstheme="minorHAnsi"/>
          <w:szCs w:val="22"/>
        </w:rPr>
        <w:t xml:space="preserve"> contain</w:t>
      </w:r>
      <w:r>
        <w:rPr>
          <w:rFonts w:cstheme="minorHAnsi"/>
          <w:szCs w:val="22"/>
        </w:rPr>
        <w:t xml:space="preserve">s </w:t>
      </w:r>
      <w:r w:rsidRPr="007B086C">
        <w:rPr>
          <w:rFonts w:cstheme="minorHAnsi"/>
          <w:szCs w:val="22"/>
        </w:rPr>
        <w:t>measure</w:t>
      </w:r>
      <w:r>
        <w:rPr>
          <w:rFonts w:cstheme="minorHAnsi"/>
          <w:szCs w:val="22"/>
        </w:rPr>
        <w:t xml:space="preserve"> energy savings </w:t>
      </w:r>
      <w:r w:rsidRPr="007B086C">
        <w:rPr>
          <w:rFonts w:cstheme="minorHAnsi"/>
          <w:szCs w:val="22"/>
        </w:rPr>
        <w:t>and cost information for</w:t>
      </w:r>
      <w:r>
        <w:rPr>
          <w:rFonts w:cstheme="minorHAnsi"/>
          <w:szCs w:val="22"/>
        </w:rPr>
        <w:t xml:space="preserve"> </w:t>
      </w:r>
      <w:r w:rsidRPr="00C44831">
        <w:rPr>
          <w:rFonts w:cstheme="minorHAnsi"/>
          <w:szCs w:val="22"/>
        </w:rPr>
        <w:t xml:space="preserve">various measures as well as values from previous DEER versions. The applicable DEER Measure IDs D03-208 </w:t>
      </w:r>
      <w:r>
        <w:rPr>
          <w:rFonts w:cstheme="minorHAnsi"/>
          <w:szCs w:val="22"/>
        </w:rPr>
        <w:t xml:space="preserve">(RF-16925) </w:t>
      </w:r>
      <w:r w:rsidRPr="00C44831">
        <w:rPr>
          <w:rFonts w:cstheme="minorHAnsi"/>
          <w:szCs w:val="22"/>
        </w:rPr>
        <w:t>and D03-20</w:t>
      </w:r>
      <w:r>
        <w:rPr>
          <w:rFonts w:cstheme="minorHAnsi"/>
          <w:szCs w:val="22"/>
        </w:rPr>
        <w:t xml:space="preserve">9 (RF-32156) </w:t>
      </w:r>
      <w:r w:rsidRPr="00E059E5">
        <w:rPr>
          <w:rFonts w:cs="Arial"/>
          <w:szCs w:val="22"/>
        </w:rPr>
        <w:t>were not updated after DEER 2005</w:t>
      </w:r>
      <w:r>
        <w:rPr>
          <w:rFonts w:cs="Arial"/>
          <w:szCs w:val="22"/>
        </w:rPr>
        <w:t xml:space="preserve">. </w:t>
      </w:r>
      <w:r w:rsidRPr="00A33C19">
        <w:rPr>
          <w:rFonts w:cs="Arial"/>
          <w:szCs w:val="22"/>
        </w:rPr>
        <w:t xml:space="preserve">As a result, new simulation models using MASControl and eQUEST were generated to calculate the energy savings for solution code RF-16925 and RF-32156. </w:t>
      </w:r>
      <w:r>
        <w:rPr>
          <w:rFonts w:cs="Arial"/>
          <w:szCs w:val="22"/>
        </w:rPr>
        <w:t xml:space="preserve"> </w:t>
      </w:r>
      <w:r w:rsidRPr="007B086C">
        <w:rPr>
          <w:rFonts w:cstheme="minorHAnsi"/>
          <w:szCs w:val="22"/>
        </w:rPr>
        <w:t>DEER</w:t>
      </w:r>
      <w:r>
        <w:rPr>
          <w:rFonts w:cstheme="minorHAnsi"/>
          <w:szCs w:val="22"/>
        </w:rPr>
        <w:t xml:space="preserve"> weather files and </w:t>
      </w:r>
      <w:r w:rsidR="005D567E">
        <w:rPr>
          <w:rFonts w:cstheme="minorHAnsi"/>
          <w:szCs w:val="22"/>
        </w:rPr>
        <w:t xml:space="preserve">Title 20 </w:t>
      </w:r>
      <w:r w:rsidR="00ED1C02">
        <w:rPr>
          <w:rFonts w:cstheme="minorHAnsi"/>
          <w:szCs w:val="22"/>
        </w:rPr>
        <w:t>(</w:t>
      </w:r>
      <w:r>
        <w:rPr>
          <w:rFonts w:cstheme="minorHAnsi"/>
          <w:szCs w:val="22"/>
        </w:rPr>
        <w:t>2014</w:t>
      </w:r>
      <w:r w:rsidR="00ED1C02">
        <w:rPr>
          <w:rFonts w:cstheme="minorHAnsi"/>
          <w:szCs w:val="22"/>
        </w:rPr>
        <w:t>)</w:t>
      </w:r>
      <w:r>
        <w:rPr>
          <w:rFonts w:cstheme="minorHAnsi"/>
          <w:szCs w:val="22"/>
        </w:rPr>
        <w:t xml:space="preserve"> code updates were considered in the measure runs</w:t>
      </w:r>
      <w:r w:rsidRPr="007B086C">
        <w:rPr>
          <w:rFonts w:cstheme="minorHAnsi"/>
          <w:szCs w:val="22"/>
        </w:rPr>
        <w:t xml:space="preserve">. </w:t>
      </w:r>
      <w:r>
        <w:rPr>
          <w:rFonts w:cstheme="minorHAnsi"/>
          <w:szCs w:val="22"/>
        </w:rPr>
        <w:t xml:space="preserve">The Grocery DEER prototype building was used to calculate savings for all building types covered in this work paper. </w:t>
      </w:r>
      <w:r w:rsidRPr="007B086C">
        <w:rPr>
          <w:rFonts w:cstheme="minorHAnsi"/>
          <w:szCs w:val="22"/>
        </w:rPr>
        <w:t xml:space="preserve">See </w:t>
      </w:r>
      <w:r>
        <w:rPr>
          <w:rFonts w:cstheme="minorHAnsi"/>
          <w:szCs w:val="22"/>
        </w:rPr>
        <w:t>S</w:t>
      </w:r>
      <w:r w:rsidRPr="007B086C">
        <w:rPr>
          <w:rFonts w:cstheme="minorHAnsi"/>
          <w:szCs w:val="22"/>
        </w:rPr>
        <w:t>ection 2 for more information.</w:t>
      </w:r>
    </w:p>
    <w:p w14:paraId="23C80429" w14:textId="77777777" w:rsidR="00AF7ECA" w:rsidRDefault="00AF7ECA" w:rsidP="00920905">
      <w:pPr>
        <w:pStyle w:val="Caption"/>
        <w:keepNext/>
        <w:jc w:val="center"/>
        <w:rPr>
          <w:rFonts w:cs="Arial"/>
          <w:szCs w:val="22"/>
        </w:rPr>
      </w:pPr>
      <w:bookmarkStart w:id="10" w:name="_Toc385592671"/>
      <w:bookmarkStart w:id="11" w:name="_Toc214003087"/>
    </w:p>
    <w:p w14:paraId="127C5859" w14:textId="3A654776" w:rsidR="00E326BA" w:rsidRPr="00920905" w:rsidRDefault="00E326BA" w:rsidP="00DA5082">
      <w:pPr>
        <w:pStyle w:val="Caption"/>
        <w:rPr>
          <w:rFonts w:cs="Arial"/>
          <w:szCs w:val="22"/>
        </w:rPr>
      </w:pPr>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B006316"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56277A">
              <w:rPr>
                <w:rFonts w:cs="Arial"/>
                <w:b/>
                <w:szCs w:val="20"/>
              </w:rPr>
              <w:t xml:space="preserve"> </w:t>
            </w:r>
            <w:r w:rsidRPr="00920905">
              <w:rPr>
                <w:rFonts w:cs="Arial"/>
                <w:b/>
                <w:szCs w:val="20"/>
              </w:rPr>
              <w:t>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3B03DC0B" w:rsidR="00E326BA" w:rsidRPr="00533FB3" w:rsidRDefault="00AF7ECA" w:rsidP="00AF7ECA">
            <w:pPr>
              <w:rPr>
                <w:rFonts w:cs="Arial"/>
                <w:b/>
                <w:szCs w:val="20"/>
              </w:rPr>
            </w:pPr>
            <w:r w:rsidRPr="00533FB3">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6C19EB74" w:rsidR="00E326BA" w:rsidRPr="00533FB3" w:rsidRDefault="00AF7ECA" w:rsidP="00920905">
            <w:pPr>
              <w:rPr>
                <w:rFonts w:cs="Arial"/>
                <w:szCs w:val="20"/>
              </w:rPr>
            </w:pPr>
            <w:r w:rsidRPr="00533FB3">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06A6B3C" w:rsidR="00E326BA" w:rsidRPr="00533FB3" w:rsidRDefault="002F1DC7" w:rsidP="00920905">
            <w:pPr>
              <w:rPr>
                <w:rFonts w:cs="Arial"/>
                <w:szCs w:val="20"/>
              </w:rPr>
            </w:pPr>
            <w:r>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4BEED714" w:rsidR="00E326BA" w:rsidRPr="00533FB3" w:rsidRDefault="00AF7ECA" w:rsidP="00920905">
            <w:pPr>
              <w:rPr>
                <w:rFonts w:cs="Arial"/>
                <w:szCs w:val="20"/>
              </w:rPr>
            </w:pPr>
            <w:r w:rsidRPr="00533FB3">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757887F0" w:rsidR="00E326BA" w:rsidRPr="00533FB3" w:rsidRDefault="00AF7ECA" w:rsidP="00AF7ECA">
            <w:pPr>
              <w:rPr>
                <w:rFonts w:cs="Arial"/>
                <w:szCs w:val="20"/>
              </w:rPr>
            </w:pPr>
            <w:r w:rsidRPr="00533FB3">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3BF6280" w:rsidR="00E326BA" w:rsidRPr="00533FB3" w:rsidRDefault="00AF7ECA" w:rsidP="00AF7ECA">
            <w:pPr>
              <w:rPr>
                <w:rFonts w:cs="Arial"/>
                <w:szCs w:val="20"/>
              </w:rPr>
            </w:pPr>
            <w:r w:rsidRPr="00533FB3">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1FFCFF66" w:rsidR="00505CEC" w:rsidRPr="00533FB3" w:rsidDel="00505CEC" w:rsidRDefault="00AF7ECA" w:rsidP="00AF7ECA">
            <w:pPr>
              <w:rPr>
                <w:rFonts w:cs="Arial"/>
                <w:szCs w:val="20"/>
              </w:rPr>
            </w:pPr>
            <w:r w:rsidRPr="00533FB3">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A734DC9" w:rsidR="00D86A9D" w:rsidRPr="00533FB3" w:rsidRDefault="00B32FBB" w:rsidP="00416E34">
            <w:pPr>
              <w:rPr>
                <w:rFonts w:cs="Arial"/>
                <w:szCs w:val="20"/>
              </w:rPr>
            </w:pPr>
            <w:r>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147C02A5" w:rsidR="00E326BA" w:rsidRPr="00533FB3" w:rsidRDefault="00AF7ECA" w:rsidP="008F753B">
            <w:pPr>
              <w:rPr>
                <w:rFonts w:cs="Arial"/>
                <w:szCs w:val="20"/>
              </w:rPr>
            </w:pPr>
            <w:r w:rsidRPr="00533FB3">
              <w:rPr>
                <w:rFonts w:cs="Arial"/>
                <w:szCs w:val="20"/>
              </w:rPr>
              <w:t xml:space="preserve">DEER </w:t>
            </w:r>
            <w:r w:rsidR="008F753B" w:rsidRPr="00533FB3">
              <w:rPr>
                <w:rFonts w:cs="Arial"/>
                <w:szCs w:val="20"/>
              </w:rPr>
              <w:t>201</w:t>
            </w:r>
            <w:r w:rsidR="008F753B">
              <w:rPr>
                <w:rFonts w:cs="Arial"/>
                <w:szCs w:val="20"/>
              </w:rPr>
              <w:t>7</w:t>
            </w:r>
            <w:r w:rsidR="008F753B" w:rsidRPr="00533FB3">
              <w:rPr>
                <w:rFonts w:cs="Arial"/>
                <w:szCs w:val="20"/>
              </w:rPr>
              <w:t xml:space="preserve"> </w:t>
            </w:r>
            <w:r w:rsidRPr="00533FB3">
              <w:rPr>
                <w:rFonts w:cs="Arial"/>
                <w:szCs w:val="20"/>
              </w:rPr>
              <w:t>does not contain this type of measure.</w:t>
            </w:r>
          </w:p>
        </w:tc>
      </w:tr>
      <w:tr w:rsidR="00726AD5" w:rsidRPr="00500C4E" w14:paraId="5272C28A" w14:textId="77777777" w:rsidTr="00533FB3">
        <w:trPr>
          <w:trHeight w:val="6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47E399F" w:rsidR="00E326BA" w:rsidRPr="00533FB3" w:rsidRDefault="00B32FBB" w:rsidP="00920905">
            <w:pPr>
              <w:rPr>
                <w:rFonts w:cs="Arial"/>
                <w:szCs w:val="20"/>
              </w:rPr>
            </w:pPr>
            <w:r>
              <w:rPr>
                <w:rFonts w:cstheme="minorHAnsi"/>
                <w:szCs w:val="20"/>
              </w:rPr>
              <w:t>N/A</w:t>
            </w:r>
          </w:p>
        </w:tc>
      </w:tr>
    </w:tbl>
    <w:p w14:paraId="23B2FFA6" w14:textId="77777777" w:rsidR="00472250" w:rsidRPr="00500C4E" w:rsidRDefault="00472250" w:rsidP="00920905">
      <w:pPr>
        <w:pStyle w:val="Caption"/>
        <w:keepNext/>
        <w:rPr>
          <w:rFonts w:cstheme="minorHAnsi"/>
          <w:b w:val="0"/>
          <w:i/>
          <w:szCs w:val="22"/>
        </w:rPr>
      </w:pPr>
    </w:p>
    <w:p w14:paraId="7CDA4E3F" w14:textId="77777777" w:rsidR="00533FB3" w:rsidRDefault="00533FB3" w:rsidP="00472250">
      <w:pPr>
        <w:pStyle w:val="Reminders"/>
        <w:rPr>
          <w:rFonts w:asciiTheme="minorHAnsi" w:hAnsiTheme="minorHAnsi" w:cstheme="minorHAnsi"/>
          <w:b/>
          <w:i w:val="0"/>
          <w:color w:val="auto"/>
          <w:szCs w:val="22"/>
        </w:rPr>
      </w:pPr>
    </w:p>
    <w:p w14:paraId="5DF8C883" w14:textId="77777777" w:rsidR="00533FB3" w:rsidRDefault="00533FB3"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Net-to-Gross Ratio</w:t>
      </w:r>
    </w:p>
    <w:p w14:paraId="00C43CEE" w14:textId="4E1399D5" w:rsidR="000968C6" w:rsidRDefault="000968C6" w:rsidP="00920905">
      <w:pPr>
        <w:pStyle w:val="NoSpacing"/>
      </w:pPr>
      <w:r w:rsidRPr="004D069A">
        <w:t>The NTG</w:t>
      </w:r>
      <w:r w:rsidR="00064CB3" w:rsidRPr="004D069A">
        <w:t xml:space="preserve"> </w:t>
      </w:r>
      <w:r w:rsidRPr="004D069A">
        <w:t>value</w:t>
      </w:r>
      <w:r w:rsidR="00BC6524" w:rsidRPr="004D069A">
        <w:t xml:space="preserve">s </w:t>
      </w:r>
      <w:r w:rsidR="0056277A">
        <w:t>in</w:t>
      </w:r>
      <w:r w:rsidR="00245E24">
        <w:t xml:space="preserve"> the </w:t>
      </w:r>
      <w:r w:rsidR="008F753B">
        <w:t>t</w:t>
      </w:r>
      <w:r w:rsidR="00245E24">
        <w:t>able below</w:t>
      </w:r>
      <w:r w:rsidR="0056277A">
        <w:t xml:space="preserve"> </w:t>
      </w:r>
      <w:r w:rsidR="00BC6524" w:rsidRPr="004D069A">
        <w:t>were obtained using</w:t>
      </w:r>
      <w:r w:rsidRPr="004D069A">
        <w:t xml:space="preserve"> </w:t>
      </w:r>
      <w:r w:rsidR="00F12733" w:rsidRPr="004D069A">
        <w:t xml:space="preserve">the </w:t>
      </w:r>
      <w:r w:rsidR="00BC6524" w:rsidRPr="004D069A">
        <w:t>DEER READI tool</w:t>
      </w:r>
      <w:r w:rsidR="00776202">
        <w:t xml:space="preserve"> v.2.4.7</w:t>
      </w:r>
      <w:r w:rsidRPr="004D069A">
        <w:t>.</w:t>
      </w:r>
    </w:p>
    <w:p w14:paraId="3900567A" w14:textId="77777777" w:rsidR="00776202" w:rsidRDefault="00776202" w:rsidP="00920905">
      <w:pPr>
        <w:pStyle w:val="NoSpacing"/>
      </w:pPr>
    </w:p>
    <w:p w14:paraId="2C312CB9" w14:textId="26160E99" w:rsidR="00533FB3" w:rsidRPr="00533FB3" w:rsidRDefault="00DA5082" w:rsidP="00DA5082">
      <w:pPr>
        <w:pStyle w:val="Caption"/>
        <w:rPr>
          <w:b w:val="0"/>
        </w:rPr>
      </w:pPr>
      <w:r>
        <w:t>Net-to-Gross Ratio</w:t>
      </w:r>
    </w:p>
    <w:tbl>
      <w:tblPr>
        <w:tblStyle w:val="TableGrid1"/>
        <w:tblW w:w="5000" w:type="pct"/>
        <w:tblLayout w:type="fixed"/>
        <w:tblLook w:val="01E0" w:firstRow="1" w:lastRow="1" w:firstColumn="1" w:lastColumn="1" w:noHBand="0" w:noVBand="0"/>
      </w:tblPr>
      <w:tblGrid>
        <w:gridCol w:w="1469"/>
        <w:gridCol w:w="3779"/>
        <w:gridCol w:w="831"/>
        <w:gridCol w:w="1013"/>
        <w:gridCol w:w="1752"/>
        <w:gridCol w:w="732"/>
      </w:tblGrid>
      <w:tr w:rsidR="005F69D5" w:rsidRPr="00500C4E" w14:paraId="7ADA6C1A" w14:textId="77777777" w:rsidTr="001E004D">
        <w:tc>
          <w:tcPr>
            <w:tcW w:w="767" w:type="pct"/>
            <w:shd w:val="clear" w:color="auto" w:fill="D9D9D9" w:themeFill="background1" w:themeFillShade="D9"/>
          </w:tcPr>
          <w:p w14:paraId="036218EF" w14:textId="6670DE77" w:rsidR="000968C6" w:rsidRPr="00920905" w:rsidRDefault="005729C8" w:rsidP="001E004D">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73" w:type="pct"/>
            <w:shd w:val="clear" w:color="auto" w:fill="D9D9D9" w:themeFill="background1" w:themeFillShade="D9"/>
          </w:tcPr>
          <w:p w14:paraId="65632B37" w14:textId="13135991" w:rsidR="000968C6" w:rsidRPr="00920905" w:rsidRDefault="005F69D5" w:rsidP="001E004D">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1E004D">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1E004D">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rsidP="001E004D">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382" w:type="pct"/>
            <w:shd w:val="clear" w:color="auto" w:fill="D9D9D9" w:themeFill="background1" w:themeFillShade="D9"/>
          </w:tcPr>
          <w:p w14:paraId="48FF07C8" w14:textId="5A5E3ED8" w:rsidR="000968C6" w:rsidRPr="00920905" w:rsidRDefault="00FB2590" w:rsidP="001E004D">
            <w:pPr>
              <w:rPr>
                <w:rFonts w:cstheme="minorHAnsi"/>
                <w:b/>
                <w:szCs w:val="20"/>
              </w:rPr>
            </w:pPr>
            <w:r w:rsidRPr="00920905">
              <w:rPr>
                <w:rFonts w:cstheme="minorHAnsi"/>
                <w:b/>
                <w:szCs w:val="20"/>
              </w:rPr>
              <w:t>NTG</w:t>
            </w:r>
            <w:r w:rsidR="00E06A37">
              <w:rPr>
                <w:rFonts w:cstheme="minorHAnsi"/>
                <w:b/>
                <w:szCs w:val="20"/>
              </w:rPr>
              <w:t>R</w:t>
            </w:r>
          </w:p>
        </w:tc>
      </w:tr>
      <w:tr w:rsidR="00533FB3" w:rsidRPr="00500C4E" w14:paraId="5C8B04BC" w14:textId="77777777" w:rsidTr="001E004D">
        <w:tc>
          <w:tcPr>
            <w:tcW w:w="767" w:type="pct"/>
          </w:tcPr>
          <w:p w14:paraId="28722997" w14:textId="64F62246" w:rsidR="00533FB3" w:rsidRPr="00500C4E" w:rsidRDefault="00533FB3" w:rsidP="001E004D">
            <w:pPr>
              <w:rPr>
                <w:color w:val="FF0000"/>
                <w:szCs w:val="20"/>
              </w:rPr>
            </w:pPr>
            <w:r w:rsidRPr="00550FB9">
              <w:rPr>
                <w:rFonts w:cstheme="minorHAnsi"/>
                <w:szCs w:val="20"/>
              </w:rPr>
              <w:t>Com-Default&gt;2yrs</w:t>
            </w:r>
          </w:p>
        </w:tc>
        <w:tc>
          <w:tcPr>
            <w:tcW w:w="1973" w:type="pct"/>
          </w:tcPr>
          <w:p w14:paraId="3EB26158" w14:textId="48E9BB48" w:rsidR="00533FB3" w:rsidRPr="00500C4E" w:rsidRDefault="00533FB3" w:rsidP="001E004D">
            <w:pPr>
              <w:rPr>
                <w:color w:val="FF0000"/>
                <w:szCs w:val="20"/>
              </w:rPr>
            </w:pPr>
            <w:r w:rsidRPr="00817721">
              <w:rPr>
                <w:rFonts w:cstheme="minorHAnsi"/>
                <w:szCs w:val="20"/>
              </w:rPr>
              <w:t>All other EEM with no evaluated NTGR; existing EEM with same delivery mechanism for more than 2 years</w:t>
            </w:r>
          </w:p>
        </w:tc>
        <w:tc>
          <w:tcPr>
            <w:tcW w:w="434" w:type="pct"/>
          </w:tcPr>
          <w:p w14:paraId="5C4D3E7D" w14:textId="4B0C3599" w:rsidR="00533FB3" w:rsidRPr="00500C4E" w:rsidRDefault="00533FB3" w:rsidP="001E004D">
            <w:pPr>
              <w:rPr>
                <w:color w:val="FF0000"/>
                <w:szCs w:val="20"/>
              </w:rPr>
            </w:pPr>
            <w:r w:rsidRPr="00550FB9">
              <w:rPr>
                <w:rFonts w:cstheme="minorHAnsi"/>
                <w:szCs w:val="20"/>
              </w:rPr>
              <w:t>Com</w:t>
            </w:r>
          </w:p>
        </w:tc>
        <w:tc>
          <w:tcPr>
            <w:tcW w:w="529" w:type="pct"/>
          </w:tcPr>
          <w:p w14:paraId="1A63333B" w14:textId="422BDF98" w:rsidR="00533FB3" w:rsidRPr="00500C4E" w:rsidRDefault="00533FB3" w:rsidP="001E004D">
            <w:pPr>
              <w:rPr>
                <w:color w:val="FF0000"/>
                <w:szCs w:val="20"/>
              </w:rPr>
            </w:pPr>
            <w:r w:rsidRPr="00550FB9">
              <w:rPr>
                <w:rFonts w:cstheme="minorHAnsi"/>
                <w:szCs w:val="20"/>
              </w:rPr>
              <w:t>Any</w:t>
            </w:r>
          </w:p>
        </w:tc>
        <w:tc>
          <w:tcPr>
            <w:tcW w:w="915" w:type="pct"/>
          </w:tcPr>
          <w:p w14:paraId="6AB10E89" w14:textId="7B71544E" w:rsidR="00533FB3" w:rsidRPr="00500C4E" w:rsidRDefault="00533FB3" w:rsidP="001E004D">
            <w:pPr>
              <w:rPr>
                <w:color w:val="FF0000"/>
                <w:szCs w:val="20"/>
              </w:rPr>
            </w:pPr>
            <w:r w:rsidRPr="00550FB9">
              <w:rPr>
                <w:rFonts w:cstheme="minorHAnsi"/>
                <w:szCs w:val="20"/>
              </w:rPr>
              <w:t>All</w:t>
            </w:r>
          </w:p>
        </w:tc>
        <w:tc>
          <w:tcPr>
            <w:tcW w:w="382" w:type="pct"/>
          </w:tcPr>
          <w:p w14:paraId="25878F23" w14:textId="605AE253" w:rsidR="00533FB3" w:rsidRPr="00500C4E" w:rsidRDefault="00533FB3" w:rsidP="001E004D">
            <w:pPr>
              <w:rPr>
                <w:color w:val="FF0000"/>
                <w:szCs w:val="20"/>
              </w:rPr>
            </w:pPr>
            <w:r w:rsidRPr="00550FB9">
              <w:rPr>
                <w:rFonts w:cstheme="minorHAnsi"/>
                <w:szCs w:val="20"/>
              </w:rPr>
              <w:t>0.6</w:t>
            </w:r>
          </w:p>
        </w:tc>
      </w:tr>
      <w:tr w:rsidR="00533FB3" w:rsidRPr="00500C4E" w14:paraId="4A5E1950" w14:textId="77777777" w:rsidTr="001E004D">
        <w:tc>
          <w:tcPr>
            <w:tcW w:w="767" w:type="pct"/>
          </w:tcPr>
          <w:p w14:paraId="00952921" w14:textId="177E3E9F" w:rsidR="00533FB3" w:rsidRPr="00500C4E" w:rsidRDefault="00533FB3" w:rsidP="001E004D">
            <w:pPr>
              <w:rPr>
                <w:color w:val="FF0000"/>
                <w:szCs w:val="20"/>
              </w:rPr>
            </w:pPr>
            <w:r>
              <w:rPr>
                <w:rFonts w:cstheme="minorHAnsi"/>
                <w:szCs w:val="20"/>
              </w:rPr>
              <w:t>Ind-Default&gt;2yrs</w:t>
            </w:r>
          </w:p>
        </w:tc>
        <w:tc>
          <w:tcPr>
            <w:tcW w:w="1973" w:type="pct"/>
          </w:tcPr>
          <w:p w14:paraId="755799BF" w14:textId="4E65EB02" w:rsidR="00533FB3" w:rsidRPr="00500C4E" w:rsidRDefault="00533FB3" w:rsidP="001E004D">
            <w:pPr>
              <w:rPr>
                <w:color w:val="FF0000"/>
                <w:szCs w:val="20"/>
              </w:rPr>
            </w:pPr>
            <w:r w:rsidRPr="0022514B">
              <w:rPr>
                <w:rFonts w:cstheme="minorHAnsi"/>
                <w:szCs w:val="20"/>
              </w:rPr>
              <w:t>All other EEMs with no evaluated NTGR; existing EEM in programs with same delivery mechanism for more than 2 years</w:t>
            </w:r>
          </w:p>
        </w:tc>
        <w:tc>
          <w:tcPr>
            <w:tcW w:w="434" w:type="pct"/>
          </w:tcPr>
          <w:p w14:paraId="3CB22E86" w14:textId="0567EDF6" w:rsidR="00533FB3" w:rsidRPr="00500C4E" w:rsidRDefault="00533FB3" w:rsidP="001E004D">
            <w:pPr>
              <w:rPr>
                <w:color w:val="FF0000"/>
                <w:szCs w:val="20"/>
              </w:rPr>
            </w:pPr>
            <w:r>
              <w:rPr>
                <w:rFonts w:cstheme="minorHAnsi"/>
                <w:szCs w:val="20"/>
              </w:rPr>
              <w:t>Ind</w:t>
            </w:r>
          </w:p>
        </w:tc>
        <w:tc>
          <w:tcPr>
            <w:tcW w:w="529" w:type="pct"/>
          </w:tcPr>
          <w:p w14:paraId="1AAF8C8B" w14:textId="244E6790" w:rsidR="00533FB3" w:rsidRPr="00500C4E" w:rsidRDefault="00533FB3" w:rsidP="001E004D">
            <w:pPr>
              <w:rPr>
                <w:color w:val="FF0000"/>
                <w:szCs w:val="20"/>
              </w:rPr>
            </w:pPr>
            <w:r w:rsidRPr="00550FB9">
              <w:rPr>
                <w:rFonts w:cstheme="minorHAnsi"/>
                <w:szCs w:val="20"/>
              </w:rPr>
              <w:t>Any</w:t>
            </w:r>
          </w:p>
        </w:tc>
        <w:tc>
          <w:tcPr>
            <w:tcW w:w="915" w:type="pct"/>
          </w:tcPr>
          <w:p w14:paraId="5BAF7D5F" w14:textId="4DD911FB" w:rsidR="00533FB3" w:rsidRPr="00500C4E" w:rsidRDefault="00533FB3" w:rsidP="001E004D">
            <w:pPr>
              <w:rPr>
                <w:color w:val="FF0000"/>
                <w:szCs w:val="20"/>
              </w:rPr>
            </w:pPr>
            <w:r w:rsidRPr="00550FB9">
              <w:rPr>
                <w:rFonts w:cstheme="minorHAnsi"/>
                <w:szCs w:val="20"/>
              </w:rPr>
              <w:t>All</w:t>
            </w:r>
          </w:p>
        </w:tc>
        <w:tc>
          <w:tcPr>
            <w:tcW w:w="382" w:type="pct"/>
          </w:tcPr>
          <w:p w14:paraId="76698D49" w14:textId="09675319" w:rsidR="00533FB3" w:rsidRPr="00500C4E" w:rsidRDefault="00533FB3" w:rsidP="001E004D">
            <w:pPr>
              <w:rPr>
                <w:color w:val="FF0000"/>
                <w:szCs w:val="20"/>
              </w:rPr>
            </w:pPr>
            <w:r w:rsidRPr="00550FB9">
              <w:rPr>
                <w:rFonts w:cstheme="minorHAnsi"/>
                <w:szCs w:val="20"/>
              </w:rPr>
              <w:t>0.6</w:t>
            </w:r>
          </w:p>
        </w:tc>
      </w:tr>
      <w:tr w:rsidR="00533FB3" w:rsidRPr="00500C4E" w14:paraId="7393AF3B" w14:textId="77777777" w:rsidTr="001E004D">
        <w:tc>
          <w:tcPr>
            <w:tcW w:w="767" w:type="pct"/>
          </w:tcPr>
          <w:p w14:paraId="002A8564" w14:textId="5BEB99B5" w:rsidR="00533FB3" w:rsidRPr="00500C4E" w:rsidRDefault="00533FB3" w:rsidP="001E004D">
            <w:pPr>
              <w:rPr>
                <w:color w:val="FF0000"/>
                <w:szCs w:val="20"/>
              </w:rPr>
            </w:pPr>
            <w:r>
              <w:rPr>
                <w:rFonts w:cstheme="minorHAnsi"/>
                <w:szCs w:val="20"/>
              </w:rPr>
              <w:t>Agric-Default&gt;2yrs</w:t>
            </w:r>
          </w:p>
        </w:tc>
        <w:tc>
          <w:tcPr>
            <w:tcW w:w="1973" w:type="pct"/>
          </w:tcPr>
          <w:p w14:paraId="7A4C0F90" w14:textId="7874945C" w:rsidR="00533FB3" w:rsidRPr="00500C4E" w:rsidRDefault="00533FB3" w:rsidP="001E004D">
            <w:pPr>
              <w:rPr>
                <w:color w:val="FF0000"/>
                <w:szCs w:val="20"/>
              </w:rPr>
            </w:pPr>
            <w:r w:rsidRPr="0022514B">
              <w:rPr>
                <w:rFonts w:cstheme="minorHAnsi"/>
                <w:szCs w:val="20"/>
              </w:rPr>
              <w:t>All other EEMs with no evaluated NTGR; existing EEM in programs with same delivery mechanism for more than 2 years</w:t>
            </w:r>
          </w:p>
        </w:tc>
        <w:tc>
          <w:tcPr>
            <w:tcW w:w="434" w:type="pct"/>
          </w:tcPr>
          <w:p w14:paraId="52FDF708" w14:textId="2B6C84EF" w:rsidR="00533FB3" w:rsidRPr="00500C4E" w:rsidRDefault="00533FB3" w:rsidP="001E004D">
            <w:pPr>
              <w:rPr>
                <w:color w:val="FF0000"/>
                <w:szCs w:val="20"/>
              </w:rPr>
            </w:pPr>
            <w:r>
              <w:rPr>
                <w:rFonts w:cstheme="minorHAnsi"/>
                <w:szCs w:val="20"/>
              </w:rPr>
              <w:t>Ag</w:t>
            </w:r>
          </w:p>
        </w:tc>
        <w:tc>
          <w:tcPr>
            <w:tcW w:w="529" w:type="pct"/>
          </w:tcPr>
          <w:p w14:paraId="73FACF89" w14:textId="7D3493DF" w:rsidR="00533FB3" w:rsidRPr="00500C4E" w:rsidRDefault="00533FB3" w:rsidP="001E004D">
            <w:pPr>
              <w:rPr>
                <w:color w:val="FF0000"/>
                <w:szCs w:val="20"/>
              </w:rPr>
            </w:pPr>
            <w:r w:rsidRPr="00550FB9">
              <w:rPr>
                <w:rFonts w:cstheme="minorHAnsi"/>
                <w:szCs w:val="20"/>
              </w:rPr>
              <w:t>Any</w:t>
            </w:r>
          </w:p>
        </w:tc>
        <w:tc>
          <w:tcPr>
            <w:tcW w:w="915" w:type="pct"/>
          </w:tcPr>
          <w:p w14:paraId="77F8AE9B" w14:textId="6519C40D" w:rsidR="00533FB3" w:rsidRPr="00500C4E" w:rsidRDefault="00533FB3" w:rsidP="001E004D">
            <w:pPr>
              <w:rPr>
                <w:color w:val="FF0000"/>
                <w:szCs w:val="20"/>
              </w:rPr>
            </w:pPr>
            <w:r w:rsidRPr="00550FB9">
              <w:rPr>
                <w:rFonts w:cstheme="minorHAnsi"/>
                <w:szCs w:val="20"/>
              </w:rPr>
              <w:t>All</w:t>
            </w:r>
          </w:p>
        </w:tc>
        <w:tc>
          <w:tcPr>
            <w:tcW w:w="382" w:type="pct"/>
          </w:tcPr>
          <w:p w14:paraId="1A4F699F" w14:textId="2883123F" w:rsidR="00533FB3" w:rsidRPr="00500C4E" w:rsidRDefault="00533FB3" w:rsidP="001E004D">
            <w:pPr>
              <w:rPr>
                <w:color w:val="FF0000"/>
                <w:szCs w:val="20"/>
              </w:rPr>
            </w:pPr>
            <w:r w:rsidRPr="00550FB9">
              <w:rPr>
                <w:rFonts w:cstheme="minorHAnsi"/>
                <w:szCs w:val="20"/>
              </w:rPr>
              <w:t>0.6</w:t>
            </w:r>
          </w:p>
        </w:tc>
      </w:tr>
      <w:tr w:rsidR="00533FB3" w:rsidRPr="00500C4E" w14:paraId="15F3AC26" w14:textId="77777777" w:rsidTr="001E004D">
        <w:tc>
          <w:tcPr>
            <w:tcW w:w="767" w:type="pct"/>
          </w:tcPr>
          <w:p w14:paraId="03B66CAA" w14:textId="475FC777" w:rsidR="00533FB3" w:rsidRPr="00500C4E" w:rsidRDefault="00533FB3" w:rsidP="001E004D">
            <w:pPr>
              <w:rPr>
                <w:color w:val="FF0000"/>
                <w:szCs w:val="20"/>
              </w:rPr>
            </w:pPr>
            <w:r w:rsidRPr="00053B17">
              <w:rPr>
                <w:rFonts w:cstheme="minorHAnsi"/>
                <w:szCs w:val="20"/>
              </w:rPr>
              <w:t>Com-Default-HTR-di</w:t>
            </w:r>
          </w:p>
        </w:tc>
        <w:tc>
          <w:tcPr>
            <w:tcW w:w="1973" w:type="pct"/>
          </w:tcPr>
          <w:p w14:paraId="08735D8C" w14:textId="4073EC22" w:rsidR="00533FB3" w:rsidRPr="00500C4E" w:rsidRDefault="00533FB3" w:rsidP="001E004D">
            <w:pPr>
              <w:rPr>
                <w:color w:val="FF0000"/>
                <w:szCs w:val="20"/>
              </w:rPr>
            </w:pPr>
            <w:r w:rsidRPr="00053B17">
              <w:rPr>
                <w:rFonts w:cstheme="minorHAnsi"/>
                <w:szCs w:val="20"/>
              </w:rPr>
              <w:t>All other EEM with no evaluated NTGR; direct install to hard-to-reach only.</w:t>
            </w:r>
          </w:p>
        </w:tc>
        <w:tc>
          <w:tcPr>
            <w:tcW w:w="434" w:type="pct"/>
          </w:tcPr>
          <w:p w14:paraId="4CD888A5" w14:textId="3A36AE44" w:rsidR="00533FB3" w:rsidRPr="00500C4E" w:rsidRDefault="00533FB3" w:rsidP="001E004D">
            <w:pPr>
              <w:rPr>
                <w:color w:val="FF0000"/>
                <w:szCs w:val="20"/>
              </w:rPr>
            </w:pPr>
            <w:r w:rsidRPr="00053B17">
              <w:rPr>
                <w:rFonts w:cstheme="minorHAnsi"/>
                <w:szCs w:val="20"/>
              </w:rPr>
              <w:t>Com</w:t>
            </w:r>
          </w:p>
        </w:tc>
        <w:tc>
          <w:tcPr>
            <w:tcW w:w="529" w:type="pct"/>
          </w:tcPr>
          <w:p w14:paraId="29FEF20B" w14:textId="5EC83F57" w:rsidR="00533FB3" w:rsidRPr="00500C4E" w:rsidRDefault="00533FB3" w:rsidP="001E004D">
            <w:pPr>
              <w:rPr>
                <w:color w:val="FF0000"/>
                <w:szCs w:val="20"/>
              </w:rPr>
            </w:pPr>
            <w:r w:rsidRPr="00053B17">
              <w:rPr>
                <w:rFonts w:cstheme="minorHAnsi"/>
                <w:szCs w:val="20"/>
              </w:rPr>
              <w:t>Any</w:t>
            </w:r>
          </w:p>
        </w:tc>
        <w:tc>
          <w:tcPr>
            <w:tcW w:w="915" w:type="pct"/>
          </w:tcPr>
          <w:p w14:paraId="34984A24" w14:textId="4332E83D" w:rsidR="00533FB3" w:rsidRPr="00500C4E" w:rsidRDefault="00533FB3" w:rsidP="001E004D">
            <w:pPr>
              <w:rPr>
                <w:color w:val="FF0000"/>
                <w:szCs w:val="20"/>
              </w:rPr>
            </w:pPr>
            <w:r w:rsidRPr="00053B17">
              <w:rPr>
                <w:rFonts w:cstheme="minorHAnsi"/>
                <w:szCs w:val="20"/>
              </w:rPr>
              <w:t>DirInstall</w:t>
            </w:r>
          </w:p>
        </w:tc>
        <w:tc>
          <w:tcPr>
            <w:tcW w:w="382" w:type="pct"/>
          </w:tcPr>
          <w:p w14:paraId="51611F1E" w14:textId="13043AC3" w:rsidR="00533FB3" w:rsidRPr="00500C4E" w:rsidRDefault="00533FB3" w:rsidP="001E004D">
            <w:pPr>
              <w:rPr>
                <w:color w:val="FF0000"/>
                <w:szCs w:val="20"/>
              </w:rPr>
            </w:pPr>
            <w:r w:rsidRPr="00053B17">
              <w:rPr>
                <w:rFonts w:cstheme="minorHAnsi"/>
                <w:szCs w:val="20"/>
              </w:rPr>
              <w:t>0.85</w:t>
            </w:r>
          </w:p>
        </w:tc>
      </w:tr>
      <w:tr w:rsidR="00533FB3" w:rsidRPr="00500C4E" w14:paraId="7C03182B" w14:textId="77777777" w:rsidTr="001E004D">
        <w:tc>
          <w:tcPr>
            <w:tcW w:w="767" w:type="pct"/>
          </w:tcPr>
          <w:p w14:paraId="35F85E3F" w14:textId="244F1313" w:rsidR="00533FB3" w:rsidRPr="00500C4E" w:rsidRDefault="00533FB3" w:rsidP="001E004D">
            <w:pPr>
              <w:rPr>
                <w:color w:val="FF0000"/>
                <w:szCs w:val="20"/>
              </w:rPr>
            </w:pPr>
            <w:r w:rsidRPr="00053B17">
              <w:rPr>
                <w:rFonts w:cstheme="minorHAnsi"/>
                <w:szCs w:val="20"/>
              </w:rPr>
              <w:t>Ind-Default-HTR-di</w:t>
            </w:r>
          </w:p>
        </w:tc>
        <w:tc>
          <w:tcPr>
            <w:tcW w:w="1973" w:type="pct"/>
          </w:tcPr>
          <w:p w14:paraId="144464BD" w14:textId="089B7747" w:rsidR="00533FB3" w:rsidRPr="00500C4E" w:rsidRDefault="00533FB3" w:rsidP="001E004D">
            <w:pPr>
              <w:rPr>
                <w:color w:val="FF0000"/>
                <w:szCs w:val="20"/>
              </w:rPr>
            </w:pPr>
            <w:r w:rsidRPr="00053B17">
              <w:rPr>
                <w:rFonts w:cstheme="minorHAnsi"/>
                <w:szCs w:val="20"/>
              </w:rPr>
              <w:t>All other EEM with no evaluated NTGR; direct install to hard-to-reach only.</w:t>
            </w:r>
          </w:p>
        </w:tc>
        <w:tc>
          <w:tcPr>
            <w:tcW w:w="434" w:type="pct"/>
          </w:tcPr>
          <w:p w14:paraId="1ED975F0" w14:textId="4F3B9B2F" w:rsidR="00533FB3" w:rsidRPr="00500C4E" w:rsidRDefault="00533FB3" w:rsidP="001E004D">
            <w:pPr>
              <w:rPr>
                <w:color w:val="FF0000"/>
                <w:szCs w:val="20"/>
              </w:rPr>
            </w:pPr>
            <w:r w:rsidRPr="00053B17">
              <w:rPr>
                <w:rFonts w:cstheme="minorHAnsi"/>
                <w:szCs w:val="20"/>
              </w:rPr>
              <w:t>Ind</w:t>
            </w:r>
          </w:p>
        </w:tc>
        <w:tc>
          <w:tcPr>
            <w:tcW w:w="529" w:type="pct"/>
          </w:tcPr>
          <w:p w14:paraId="178E3269" w14:textId="3CBD4359" w:rsidR="00533FB3" w:rsidRPr="00500C4E" w:rsidRDefault="00533FB3" w:rsidP="001E004D">
            <w:pPr>
              <w:rPr>
                <w:color w:val="FF0000"/>
                <w:szCs w:val="20"/>
              </w:rPr>
            </w:pPr>
            <w:r w:rsidRPr="00053B17">
              <w:rPr>
                <w:rFonts w:cstheme="minorHAnsi"/>
                <w:szCs w:val="20"/>
              </w:rPr>
              <w:t>Any</w:t>
            </w:r>
          </w:p>
        </w:tc>
        <w:tc>
          <w:tcPr>
            <w:tcW w:w="915" w:type="pct"/>
          </w:tcPr>
          <w:p w14:paraId="45309ECA" w14:textId="43CD8F0A" w:rsidR="00533FB3" w:rsidRPr="00500C4E" w:rsidRDefault="00533FB3" w:rsidP="001E004D">
            <w:pPr>
              <w:rPr>
                <w:color w:val="FF0000"/>
                <w:szCs w:val="20"/>
              </w:rPr>
            </w:pPr>
            <w:r w:rsidRPr="00053B17">
              <w:rPr>
                <w:rFonts w:cstheme="minorHAnsi"/>
                <w:szCs w:val="20"/>
              </w:rPr>
              <w:t>DirInstall</w:t>
            </w:r>
          </w:p>
        </w:tc>
        <w:tc>
          <w:tcPr>
            <w:tcW w:w="382" w:type="pct"/>
          </w:tcPr>
          <w:p w14:paraId="75489182" w14:textId="3FF54714" w:rsidR="00533FB3" w:rsidRPr="00500C4E" w:rsidRDefault="00533FB3" w:rsidP="001E004D">
            <w:pPr>
              <w:rPr>
                <w:color w:val="FF0000"/>
                <w:szCs w:val="20"/>
              </w:rPr>
            </w:pPr>
            <w:r w:rsidRPr="00053B17">
              <w:rPr>
                <w:rFonts w:cstheme="minorHAnsi"/>
                <w:szCs w:val="20"/>
              </w:rPr>
              <w:t>0.85</w:t>
            </w:r>
          </w:p>
        </w:tc>
      </w:tr>
      <w:tr w:rsidR="00533FB3" w:rsidRPr="00500C4E" w14:paraId="72F29F54" w14:textId="77777777" w:rsidTr="001E004D">
        <w:tc>
          <w:tcPr>
            <w:tcW w:w="767" w:type="pct"/>
          </w:tcPr>
          <w:p w14:paraId="1DC311D9" w14:textId="3FB498F1" w:rsidR="00533FB3" w:rsidRPr="00500C4E" w:rsidRDefault="00533FB3" w:rsidP="001E004D">
            <w:pPr>
              <w:rPr>
                <w:color w:val="FF0000"/>
                <w:szCs w:val="20"/>
              </w:rPr>
            </w:pPr>
            <w:r w:rsidRPr="00053B17">
              <w:rPr>
                <w:rFonts w:cstheme="minorHAnsi"/>
                <w:szCs w:val="20"/>
              </w:rPr>
              <w:t>Agricult-Default-HTR-di</w:t>
            </w:r>
          </w:p>
        </w:tc>
        <w:tc>
          <w:tcPr>
            <w:tcW w:w="1973" w:type="pct"/>
          </w:tcPr>
          <w:p w14:paraId="5F907EC8" w14:textId="0E5C24C1" w:rsidR="00533FB3" w:rsidRPr="00500C4E" w:rsidRDefault="00533FB3" w:rsidP="001E004D">
            <w:pPr>
              <w:rPr>
                <w:color w:val="FF0000"/>
                <w:szCs w:val="20"/>
              </w:rPr>
            </w:pPr>
            <w:r w:rsidRPr="00053B17">
              <w:rPr>
                <w:rFonts w:cstheme="minorHAnsi"/>
                <w:szCs w:val="20"/>
              </w:rPr>
              <w:t>All other EEM with no evaluated NTGR; direct install to hard-to-reach only.</w:t>
            </w:r>
          </w:p>
        </w:tc>
        <w:tc>
          <w:tcPr>
            <w:tcW w:w="434" w:type="pct"/>
          </w:tcPr>
          <w:p w14:paraId="455CAD66" w14:textId="7FFAB35C" w:rsidR="00533FB3" w:rsidRPr="00500C4E" w:rsidRDefault="00533FB3" w:rsidP="001E004D">
            <w:pPr>
              <w:rPr>
                <w:color w:val="FF0000"/>
                <w:szCs w:val="20"/>
              </w:rPr>
            </w:pPr>
            <w:r w:rsidRPr="00053B17">
              <w:rPr>
                <w:rFonts w:cstheme="minorHAnsi"/>
                <w:szCs w:val="20"/>
              </w:rPr>
              <w:t>Ag</w:t>
            </w:r>
          </w:p>
        </w:tc>
        <w:tc>
          <w:tcPr>
            <w:tcW w:w="529" w:type="pct"/>
          </w:tcPr>
          <w:p w14:paraId="0F750DBB" w14:textId="4FBFD9EA" w:rsidR="00533FB3" w:rsidRPr="00500C4E" w:rsidRDefault="00533FB3" w:rsidP="001E004D">
            <w:pPr>
              <w:rPr>
                <w:color w:val="FF0000"/>
                <w:szCs w:val="20"/>
              </w:rPr>
            </w:pPr>
            <w:r w:rsidRPr="00053B17">
              <w:rPr>
                <w:rFonts w:cstheme="minorHAnsi"/>
                <w:szCs w:val="20"/>
              </w:rPr>
              <w:t>Any</w:t>
            </w:r>
          </w:p>
        </w:tc>
        <w:tc>
          <w:tcPr>
            <w:tcW w:w="915" w:type="pct"/>
          </w:tcPr>
          <w:p w14:paraId="189C7316" w14:textId="0E17CBD7" w:rsidR="00533FB3" w:rsidRPr="00500C4E" w:rsidRDefault="00533FB3" w:rsidP="001E004D">
            <w:pPr>
              <w:rPr>
                <w:color w:val="FF0000"/>
                <w:szCs w:val="20"/>
              </w:rPr>
            </w:pPr>
            <w:r w:rsidRPr="00053B17">
              <w:rPr>
                <w:rFonts w:cstheme="minorHAnsi"/>
                <w:szCs w:val="20"/>
              </w:rPr>
              <w:t>DirInstall</w:t>
            </w:r>
          </w:p>
        </w:tc>
        <w:tc>
          <w:tcPr>
            <w:tcW w:w="382" w:type="pct"/>
          </w:tcPr>
          <w:p w14:paraId="44F7D6A7" w14:textId="41F3A4D0" w:rsidR="00533FB3" w:rsidRPr="00500C4E" w:rsidRDefault="00533FB3" w:rsidP="001E004D">
            <w:pPr>
              <w:rPr>
                <w:color w:val="FF0000"/>
                <w:szCs w:val="20"/>
              </w:rPr>
            </w:pPr>
            <w:r w:rsidRPr="00053B17">
              <w:rPr>
                <w:rFonts w:cstheme="minorHAnsi"/>
                <w:szCs w:val="20"/>
              </w:rPr>
              <w:t>0.85</w:t>
            </w:r>
          </w:p>
        </w:tc>
      </w:tr>
    </w:tbl>
    <w:p w14:paraId="2595EDF1" w14:textId="287B1293" w:rsidR="000968C6" w:rsidRPr="00533FB3" w:rsidRDefault="00FB2590" w:rsidP="000968C6">
      <w:pPr>
        <w:pStyle w:val="Reminders"/>
        <w:rPr>
          <w:rFonts w:asciiTheme="minorHAnsi" w:hAnsiTheme="minorHAnsi" w:cstheme="minorHAnsi"/>
          <w:i w:val="0"/>
          <w:color w:val="auto"/>
          <w:sz w:val="20"/>
          <w:szCs w:val="20"/>
        </w:rPr>
      </w:pPr>
      <w:r w:rsidRPr="00533FB3">
        <w:rPr>
          <w:rFonts w:asciiTheme="minorHAnsi" w:hAnsiTheme="minorHAnsi" w:cstheme="minorHAnsi"/>
          <w:i w:val="0"/>
          <w:color w:val="auto"/>
          <w:sz w:val="20"/>
          <w:szCs w:val="20"/>
        </w:rPr>
        <w:t>Note: Direct install measures that are not hard-to-reach will use the default NTG value.</w:t>
      </w:r>
    </w:p>
    <w:p w14:paraId="733F7AFF" w14:textId="77777777" w:rsidR="00533FB3" w:rsidRDefault="00533FB3" w:rsidP="00533FB3">
      <w:pPr>
        <w:rPr>
          <w:color w:val="000000" w:themeColor="text1"/>
        </w:rPr>
      </w:pPr>
    </w:p>
    <w:p w14:paraId="326328D9" w14:textId="77777777" w:rsidR="00533FB3" w:rsidRDefault="00533FB3" w:rsidP="00533FB3">
      <w:pPr>
        <w:rPr>
          <w:color w:val="000000" w:themeColor="text1"/>
        </w:rPr>
      </w:pPr>
      <w:r w:rsidRPr="00952D5F">
        <w:rPr>
          <w:color w:val="000000" w:themeColor="text1"/>
        </w:rPr>
        <w:t xml:space="preserve">This work paper includes measures that are offered via direct install activities into hard-to-reach (HTR) customer </w:t>
      </w:r>
      <w:r>
        <w:rPr>
          <w:color w:val="000000" w:themeColor="text1"/>
        </w:rPr>
        <w:t>facilities</w:t>
      </w:r>
      <w:r w:rsidRPr="00952D5F">
        <w:rPr>
          <w:color w:val="000000" w:themeColor="text1"/>
        </w:rPr>
        <w:t xml:space="preserve">.  </w:t>
      </w:r>
      <w:r>
        <w:rPr>
          <w:color w:val="000000" w:themeColor="text1"/>
        </w:rPr>
        <w:t>“</w:t>
      </w:r>
      <w:r w:rsidRPr="00952D5F">
        <w:rPr>
          <w:color w:val="000000" w:themeColor="text1"/>
        </w:rPr>
        <w:t>Final Resolution E-4700</w:t>
      </w:r>
      <w:r>
        <w:rPr>
          <w:color w:val="000000" w:themeColor="text1"/>
        </w:rPr>
        <w:t>”</w:t>
      </w:r>
      <w:r w:rsidRPr="00952D5F">
        <w:rPr>
          <w:color w:val="000000" w:themeColor="text1"/>
        </w:rPr>
        <w:t xml:space="preserve">, dated December 18, 2014, defines specific criteria to classify customer </w:t>
      </w:r>
      <w:r>
        <w:rPr>
          <w:color w:val="000000" w:themeColor="text1"/>
        </w:rPr>
        <w:t>facilities</w:t>
      </w:r>
      <w:r w:rsidRPr="00952D5F">
        <w:rPr>
          <w:color w:val="000000" w:themeColor="text1"/>
        </w:rPr>
        <w:t xml:space="preserve"> as HTR</w:t>
      </w:r>
      <w:r>
        <w:rPr>
          <w:color w:val="000000" w:themeColor="text1"/>
        </w:rPr>
        <w:t xml:space="preserve"> and also states that two criteria are sufficient to identify HTR customers </w:t>
      </w:r>
      <w:r w:rsidRPr="00067D8C">
        <w:rPr>
          <w:color w:val="000000" w:themeColor="text1"/>
        </w:rPr>
        <w:t>if one of the criteria met is the geographic criteria</w:t>
      </w:r>
      <w:r>
        <w:rPr>
          <w:color w:val="000000" w:themeColor="text1"/>
        </w:rPr>
        <w:t xml:space="preserve">.  </w:t>
      </w:r>
    </w:p>
    <w:p w14:paraId="655E6D1D" w14:textId="77777777" w:rsidR="00533FB3" w:rsidRDefault="00533FB3" w:rsidP="00533FB3">
      <w:pPr>
        <w:rPr>
          <w:color w:val="000000" w:themeColor="text1"/>
        </w:rPr>
      </w:pPr>
    </w:p>
    <w:p w14:paraId="2122E939" w14:textId="77777777" w:rsidR="00533FB3" w:rsidRDefault="00533FB3" w:rsidP="00533FB3">
      <w:pPr>
        <w:rPr>
          <w:color w:val="000000" w:themeColor="text1"/>
        </w:rPr>
      </w:pPr>
      <w:r>
        <w:rPr>
          <w:color w:val="000000" w:themeColor="text1"/>
        </w:rPr>
        <w:t>SCE’s</w:t>
      </w:r>
      <w:r w:rsidRPr="00A96A74">
        <w:rPr>
          <w:color w:val="000000" w:themeColor="text1"/>
        </w:rPr>
        <w:t xml:space="preserve"> Commercial Direct Install program delivers free and low cost energy</w:t>
      </w:r>
      <w:r>
        <w:rPr>
          <w:color w:val="000000" w:themeColor="text1"/>
        </w:rPr>
        <w:t xml:space="preserve"> </w:t>
      </w:r>
      <w:r w:rsidRPr="00A96A74">
        <w:rPr>
          <w:color w:val="000000" w:themeColor="text1"/>
        </w:rPr>
        <w:t>efficiency hardware retrofits through installation contractors to reduce peak demand</w:t>
      </w:r>
      <w:r>
        <w:rPr>
          <w:color w:val="000000" w:themeColor="text1"/>
        </w:rPr>
        <w:t xml:space="preserve"> </w:t>
      </w:r>
      <w:r w:rsidRPr="00A96A74">
        <w:rPr>
          <w:color w:val="000000" w:themeColor="text1"/>
        </w:rPr>
        <w:t>and energy savings for small and medium commercial customers.</w:t>
      </w:r>
      <w:r>
        <w:rPr>
          <w:color w:val="000000" w:themeColor="text1"/>
        </w:rPr>
        <w:t xml:space="preserve">  The barriers for customer participation include limited capital resources, lack of expertise and understanding of the </w:t>
      </w:r>
      <w:r w:rsidRPr="00A96A74">
        <w:rPr>
          <w:color w:val="000000" w:themeColor="text1"/>
        </w:rPr>
        <w:t xml:space="preserve">understanding of the benefits of energy </w:t>
      </w:r>
      <w:r>
        <w:rPr>
          <w:color w:val="000000" w:themeColor="text1"/>
        </w:rPr>
        <w:t xml:space="preserve">efficiency, a suspicion of the </w:t>
      </w:r>
      <w:r w:rsidRPr="00A96A74">
        <w:rPr>
          <w:color w:val="000000" w:themeColor="text1"/>
        </w:rPr>
        <w:t>“free offer” and its legitimacy, and language and cultural barriers.</w:t>
      </w:r>
      <w:r>
        <w:rPr>
          <w:color w:val="000000" w:themeColor="text1"/>
        </w:rPr>
        <w:t xml:space="preserve">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w:t>
      </w:r>
      <w:r w:rsidRPr="008170A7">
        <w:rPr>
          <w:color w:val="000000" w:themeColor="text1"/>
        </w:rPr>
        <w:t>Other</w:t>
      </w:r>
      <w:r>
        <w:rPr>
          <w:color w:val="000000" w:themeColor="text1"/>
        </w:rPr>
        <w:t xml:space="preserve"> measures in the Commercial Direct Install program will receive default NTG (NTGR_ID: Com-Default&gt;2), unless otherwise specified in DEER.</w:t>
      </w:r>
    </w:p>
    <w:p w14:paraId="728CE1B3" w14:textId="77777777" w:rsidR="00533FB3" w:rsidRDefault="00533FB3" w:rsidP="00533FB3">
      <w:pPr>
        <w:rPr>
          <w:color w:val="000000" w:themeColor="text1"/>
        </w:rPr>
      </w:pPr>
    </w:p>
    <w:p w14:paraId="5359E1C2" w14:textId="66464534" w:rsidR="00533FB3" w:rsidRDefault="00533FB3" w:rsidP="00533FB3">
      <w:pPr>
        <w:pStyle w:val="ListParagraph"/>
        <w:numPr>
          <w:ilvl w:val="0"/>
          <w:numId w:val="39"/>
        </w:numPr>
        <w:rPr>
          <w:color w:val="000000" w:themeColor="text1"/>
        </w:rPr>
      </w:pPr>
      <w:r w:rsidRPr="00533FB3">
        <w:rPr>
          <w:b/>
          <w:color w:val="000000" w:themeColor="text1"/>
        </w:rPr>
        <w:t>Business Size</w:t>
      </w:r>
      <w:r w:rsidRPr="00533FB3">
        <w:rPr>
          <w:color w:val="000000" w:themeColor="text1"/>
        </w:rPr>
        <w:t xml:space="preserve"> – Customer must have less than ten employees </w:t>
      </w:r>
    </w:p>
    <w:p w14:paraId="6EC89185" w14:textId="77777777" w:rsidR="00533FB3" w:rsidRPr="00533FB3" w:rsidRDefault="00533FB3" w:rsidP="00533FB3">
      <w:pPr>
        <w:pStyle w:val="ListParagraph"/>
        <w:rPr>
          <w:color w:val="000000" w:themeColor="text1"/>
        </w:rPr>
      </w:pPr>
    </w:p>
    <w:p w14:paraId="3A36B634" w14:textId="1298C5DD" w:rsidR="00533FB3" w:rsidRDefault="00533FB3" w:rsidP="00533FB3">
      <w:pPr>
        <w:pStyle w:val="ListParagraph"/>
        <w:numPr>
          <w:ilvl w:val="0"/>
          <w:numId w:val="39"/>
        </w:numPr>
        <w:rPr>
          <w:color w:val="000000" w:themeColor="text1"/>
        </w:rPr>
      </w:pPr>
      <w:r w:rsidRPr="00533FB3">
        <w:rPr>
          <w:b/>
          <w:color w:val="000000" w:themeColor="text1"/>
        </w:rPr>
        <w:t>Language</w:t>
      </w:r>
      <w:r w:rsidRPr="00533FB3">
        <w:rPr>
          <w:color w:val="000000" w:themeColor="text1"/>
        </w:rPr>
        <w:t xml:space="preserve"> – Customer’s primary language spoken is not English</w:t>
      </w:r>
    </w:p>
    <w:p w14:paraId="1F83923B" w14:textId="77777777" w:rsidR="00533FB3" w:rsidRPr="00533FB3" w:rsidRDefault="00533FB3" w:rsidP="00533FB3">
      <w:pPr>
        <w:rPr>
          <w:color w:val="000000" w:themeColor="text1"/>
        </w:rPr>
      </w:pPr>
    </w:p>
    <w:p w14:paraId="5FF8C3DA" w14:textId="13C42CFA" w:rsidR="00533FB3" w:rsidRDefault="00533FB3" w:rsidP="00533FB3">
      <w:pPr>
        <w:pStyle w:val="ListParagraph"/>
        <w:numPr>
          <w:ilvl w:val="0"/>
          <w:numId w:val="39"/>
        </w:numPr>
        <w:rPr>
          <w:color w:val="000000" w:themeColor="text1"/>
        </w:rPr>
      </w:pPr>
      <w:r w:rsidRPr="00533FB3">
        <w:rPr>
          <w:b/>
          <w:color w:val="000000" w:themeColor="text1"/>
        </w:rPr>
        <w:t>Geography</w:t>
      </w:r>
      <w:r w:rsidRPr="00533FB3">
        <w:rPr>
          <w:color w:val="000000" w:themeColor="text1"/>
        </w:rPr>
        <w:t xml:space="preserve"> – Businesses in areas other than the United States Office of Management and Budget (OMB) Combined Statistical Areas (CSA) of the San Francisco Bay Area,  the Greater Los </w:t>
      </w:r>
      <w:r w:rsidRPr="00533FB3">
        <w:rPr>
          <w:color w:val="000000" w:themeColor="text1"/>
        </w:rPr>
        <w:lastRenderedPageBreak/>
        <w:t>Angeles Area and the Greater Sacramento Area  or the OBM metropolitan statistical areas or San Diego County</w:t>
      </w:r>
      <w:r>
        <w:rPr>
          <w:color w:val="000000" w:themeColor="text1"/>
        </w:rPr>
        <w:t>.</w:t>
      </w:r>
    </w:p>
    <w:p w14:paraId="67FE2791" w14:textId="77777777" w:rsidR="00533FB3" w:rsidRPr="00533FB3" w:rsidRDefault="00533FB3" w:rsidP="00533FB3">
      <w:pPr>
        <w:rPr>
          <w:color w:val="000000" w:themeColor="text1"/>
        </w:rPr>
      </w:pPr>
    </w:p>
    <w:p w14:paraId="657E6FAA" w14:textId="77777777" w:rsidR="00533FB3" w:rsidRDefault="00533FB3" w:rsidP="00533FB3">
      <w:pPr>
        <w:ind w:left="720"/>
        <w:rPr>
          <w:color w:val="000000" w:themeColor="text1"/>
        </w:rPr>
      </w:pPr>
      <w:r w:rsidRPr="00952D5F">
        <w:rPr>
          <w:color w:val="000000" w:themeColor="text1"/>
        </w:rPr>
        <w:t>The “Required Corrections to Measure Level Input Parameters Identified by Commission Staff per D.14-10-046 Order Paragraph 16”, dated November 3, 2014,</w:t>
      </w:r>
      <w:r>
        <w:rPr>
          <w:color w:val="000000" w:themeColor="text1"/>
        </w:rPr>
        <w:t xml:space="preserve"> </w:t>
      </w:r>
      <w:r w:rsidRPr="00952D5F">
        <w:rPr>
          <w:color w:val="000000" w:themeColor="text1"/>
        </w:rPr>
        <w:t xml:space="preserve">includes additional </w:t>
      </w:r>
      <w:r>
        <w:rPr>
          <w:color w:val="000000" w:themeColor="text1"/>
        </w:rPr>
        <w:t>clarification for the geographic criteria:</w:t>
      </w:r>
    </w:p>
    <w:p w14:paraId="006122F1" w14:textId="77777777" w:rsidR="00533FB3" w:rsidRPr="00067D8C" w:rsidRDefault="00533FB3" w:rsidP="00533FB3">
      <w:pPr>
        <w:ind w:left="720"/>
        <w:rPr>
          <w:color w:val="000000" w:themeColor="text1"/>
        </w:rPr>
      </w:pPr>
    </w:p>
    <w:p w14:paraId="3E8EB50F" w14:textId="77777777" w:rsidR="00533FB3" w:rsidRDefault="00533FB3" w:rsidP="00533FB3">
      <w:pPr>
        <w:ind w:left="720"/>
        <w:rPr>
          <w:color w:val="000000" w:themeColor="text1"/>
        </w:rPr>
      </w:pPr>
      <w:r>
        <w:rPr>
          <w:color w:val="000000" w:themeColor="text1"/>
        </w:rPr>
        <w:t>“</w:t>
      </w:r>
      <w:r w:rsidRPr="00067D8C">
        <w:rPr>
          <w:color w:val="000000" w:themeColor="text1"/>
        </w:rPr>
        <w:t>Notes on OMB CSA designations:</w:t>
      </w:r>
    </w:p>
    <w:p w14:paraId="29863824" w14:textId="77777777" w:rsidR="00533FB3" w:rsidRPr="00067D8C" w:rsidRDefault="00533FB3" w:rsidP="00533FB3">
      <w:pPr>
        <w:ind w:left="720"/>
        <w:rPr>
          <w:color w:val="000000" w:themeColor="text1"/>
        </w:rPr>
      </w:pPr>
    </w:p>
    <w:p w14:paraId="03C4D44C" w14:textId="77777777" w:rsidR="00533FB3" w:rsidRPr="00067D8C" w:rsidRDefault="00533FB3" w:rsidP="00533FB3">
      <w:pPr>
        <w:ind w:left="720"/>
        <w:rPr>
          <w:color w:val="000000" w:themeColor="text1"/>
        </w:rPr>
      </w:pPr>
      <w:r w:rsidRPr="00067D8C">
        <w:rPr>
          <w:color w:val="000000" w:themeColor="text1"/>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5E70C6F7" w14:textId="77777777" w:rsidR="00533FB3" w:rsidRDefault="00533FB3" w:rsidP="00533FB3">
      <w:pPr>
        <w:ind w:left="720"/>
        <w:rPr>
          <w:color w:val="000000" w:themeColor="text1"/>
        </w:rPr>
      </w:pPr>
    </w:p>
    <w:p w14:paraId="311124E7" w14:textId="77777777" w:rsidR="00533FB3" w:rsidRPr="00067D8C" w:rsidRDefault="00533FB3" w:rsidP="00533FB3">
      <w:pPr>
        <w:ind w:left="720"/>
        <w:rPr>
          <w:color w:val="000000" w:themeColor="text1"/>
        </w:rPr>
      </w:pPr>
      <w:r w:rsidRPr="00067D8C">
        <w:rPr>
          <w:color w:val="000000" w:themeColor="text1"/>
        </w:rPr>
        <w:t>The OMB definition of this CSA includes Los Angeles, Orange, San Bernardino, Riverside and Ventura counties.</w:t>
      </w:r>
    </w:p>
    <w:p w14:paraId="1D248696" w14:textId="77777777" w:rsidR="00533FB3" w:rsidRDefault="00533FB3" w:rsidP="00533FB3">
      <w:pPr>
        <w:pStyle w:val="Reminders"/>
        <w:rPr>
          <w:color w:val="000000" w:themeColor="text1"/>
        </w:rPr>
      </w:pPr>
    </w:p>
    <w:p w14:paraId="0E13CC18" w14:textId="06C46656" w:rsidR="00C018E0" w:rsidRPr="00533FB3" w:rsidRDefault="00533FB3" w:rsidP="00533FB3">
      <w:pPr>
        <w:pStyle w:val="Reminders"/>
        <w:ind w:left="720"/>
        <w:rPr>
          <w:rFonts w:asciiTheme="minorHAnsi" w:hAnsiTheme="minorHAnsi" w:cstheme="minorHAnsi"/>
          <w:i w:val="0"/>
          <w:szCs w:val="22"/>
        </w:rPr>
      </w:pPr>
      <w:r w:rsidRPr="00533FB3">
        <w:rPr>
          <w:rFonts w:asciiTheme="minorHAnsi" w:hAnsiTheme="minorHAnsi"/>
          <w:i w:val="0"/>
          <w:color w:val="000000" w:themeColor="text1"/>
        </w:rPr>
        <w:t>The OMB definition of this CSA includes Sacramento, Yolo, El Dorado, Placer, Sut</w:t>
      </w:r>
      <w:r>
        <w:rPr>
          <w:rFonts w:asciiTheme="minorHAnsi" w:hAnsiTheme="minorHAnsi"/>
          <w:i w:val="0"/>
          <w:color w:val="000000" w:themeColor="text1"/>
        </w:rPr>
        <w:t>ter, Yuba, and Nevada counties.</w:t>
      </w:r>
      <w:r w:rsidRPr="00533FB3">
        <w:rPr>
          <w:rFonts w:asciiTheme="minorHAnsi" w:hAnsiTheme="minorHAnsi"/>
          <w:i w:val="0"/>
          <w:color w:val="000000" w:themeColor="text1"/>
        </w:rPr>
        <w:t xml:space="preserve">  </w:t>
      </w:r>
    </w:p>
    <w:p w14:paraId="525277F7" w14:textId="77777777" w:rsidR="00533FB3" w:rsidRPr="00920905" w:rsidRDefault="00533FB3"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6719B7BE"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776202">
        <w:t xml:space="preserve">in </w:t>
      </w:r>
      <w:r w:rsidR="00245E24">
        <w:t xml:space="preserve">the </w:t>
      </w:r>
      <w:r w:rsidR="00E9619C">
        <w:t>t</w:t>
      </w:r>
      <w:r w:rsidR="00245E24">
        <w:t>able below</w:t>
      </w:r>
      <w:r w:rsidR="00776202">
        <w:t xml:space="preserve"> </w:t>
      </w:r>
      <w:r w:rsidR="00061A8E" w:rsidRPr="00920905">
        <w:t>were</w:t>
      </w:r>
      <w:r w:rsidRPr="00920905">
        <w:t xml:space="preserve"> obtained </w:t>
      </w:r>
      <w:r w:rsidR="00BC6524" w:rsidRPr="00920905">
        <w:t>using the DEER READI tool</w:t>
      </w:r>
      <w:r w:rsidR="00776202">
        <w:t xml:space="preserve"> v.2.4.7</w:t>
      </w:r>
      <w:r w:rsidR="008B1357" w:rsidRPr="00920905">
        <w:t>.</w:t>
      </w:r>
    </w:p>
    <w:p w14:paraId="26EC892F" w14:textId="77777777" w:rsidR="00776202" w:rsidRDefault="00776202" w:rsidP="00920905">
      <w:pPr>
        <w:pStyle w:val="NoSpacing"/>
      </w:pPr>
    </w:p>
    <w:p w14:paraId="37A841F4" w14:textId="24BF8364" w:rsidR="00A555C8" w:rsidRPr="00920905" w:rsidRDefault="00DA5082" w:rsidP="00DA5082">
      <w:pPr>
        <w:pStyle w:val="Caption"/>
      </w:pPr>
      <w:r>
        <w:t>Gross Savings Installation Adjustment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611257">
        <w:tc>
          <w:tcPr>
            <w:tcW w:w="722" w:type="pct"/>
            <w:shd w:val="clear" w:color="auto" w:fill="D9D9D9" w:themeFill="background1" w:themeFillShade="D9"/>
          </w:tcPr>
          <w:p w14:paraId="75105F70" w14:textId="77777777" w:rsidR="006B4A48" w:rsidRPr="00920905" w:rsidRDefault="00BA2E7E" w:rsidP="00611257">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611257">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611257">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611257">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611257">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611257">
            <w:pPr>
              <w:rPr>
                <w:rFonts w:cstheme="minorHAnsi"/>
                <w:b/>
                <w:szCs w:val="20"/>
              </w:rPr>
            </w:pPr>
            <w:r w:rsidRPr="00920905">
              <w:rPr>
                <w:rFonts w:cstheme="minorHAnsi"/>
                <w:b/>
                <w:szCs w:val="20"/>
              </w:rPr>
              <w:t>GSIAValue</w:t>
            </w:r>
          </w:p>
        </w:tc>
      </w:tr>
      <w:tr w:rsidR="00A555C8" w:rsidRPr="00500C4E" w14:paraId="3AEFCD58" w14:textId="77777777" w:rsidTr="00611257">
        <w:tc>
          <w:tcPr>
            <w:tcW w:w="722" w:type="pct"/>
          </w:tcPr>
          <w:p w14:paraId="20565B79" w14:textId="2A5AFFC9" w:rsidR="00A555C8" w:rsidRPr="00500C4E" w:rsidRDefault="00A555C8" w:rsidP="00611257">
            <w:pPr>
              <w:rPr>
                <w:color w:val="FF0000"/>
                <w:szCs w:val="20"/>
              </w:rPr>
            </w:pPr>
            <w:r>
              <w:rPr>
                <w:rFonts w:cstheme="minorHAnsi"/>
                <w:szCs w:val="20"/>
              </w:rPr>
              <w:t>Def-GSIA</w:t>
            </w:r>
          </w:p>
        </w:tc>
        <w:tc>
          <w:tcPr>
            <w:tcW w:w="1404" w:type="pct"/>
          </w:tcPr>
          <w:p w14:paraId="2BFFF598" w14:textId="0835BC4B" w:rsidR="00A555C8" w:rsidRPr="00500C4E" w:rsidRDefault="00A555C8" w:rsidP="00611257">
            <w:pPr>
              <w:rPr>
                <w:color w:val="FF0000"/>
                <w:szCs w:val="20"/>
              </w:rPr>
            </w:pPr>
            <w:r>
              <w:rPr>
                <w:rFonts w:cstheme="minorHAnsi"/>
                <w:szCs w:val="20"/>
              </w:rPr>
              <w:t>Default GSIA values</w:t>
            </w:r>
          </w:p>
        </w:tc>
        <w:tc>
          <w:tcPr>
            <w:tcW w:w="688" w:type="pct"/>
          </w:tcPr>
          <w:p w14:paraId="157D8A62" w14:textId="6060BC96" w:rsidR="00A555C8" w:rsidRPr="00500C4E" w:rsidRDefault="00A555C8" w:rsidP="00611257">
            <w:pPr>
              <w:rPr>
                <w:color w:val="FF0000"/>
                <w:szCs w:val="20"/>
              </w:rPr>
            </w:pPr>
            <w:r>
              <w:rPr>
                <w:rFonts w:cstheme="minorHAnsi"/>
                <w:szCs w:val="20"/>
              </w:rPr>
              <w:t>Any</w:t>
            </w:r>
          </w:p>
        </w:tc>
        <w:tc>
          <w:tcPr>
            <w:tcW w:w="858" w:type="pct"/>
          </w:tcPr>
          <w:p w14:paraId="0C3293FE" w14:textId="14E1900E" w:rsidR="00A555C8" w:rsidRPr="00500C4E" w:rsidRDefault="00A555C8" w:rsidP="00611257">
            <w:pPr>
              <w:rPr>
                <w:color w:val="FF0000"/>
                <w:szCs w:val="20"/>
              </w:rPr>
            </w:pPr>
            <w:r>
              <w:rPr>
                <w:rFonts w:cstheme="minorHAnsi"/>
                <w:szCs w:val="20"/>
              </w:rPr>
              <w:t>Any</w:t>
            </w:r>
          </w:p>
        </w:tc>
        <w:tc>
          <w:tcPr>
            <w:tcW w:w="693" w:type="pct"/>
          </w:tcPr>
          <w:p w14:paraId="0B642835" w14:textId="0233E3F3" w:rsidR="00A555C8" w:rsidRPr="00500C4E" w:rsidRDefault="00A555C8" w:rsidP="00611257">
            <w:pPr>
              <w:rPr>
                <w:color w:val="FF0000"/>
                <w:szCs w:val="20"/>
              </w:rPr>
            </w:pPr>
            <w:r>
              <w:rPr>
                <w:rFonts w:cstheme="minorHAnsi"/>
                <w:szCs w:val="20"/>
              </w:rPr>
              <w:t>Any</w:t>
            </w:r>
          </w:p>
        </w:tc>
        <w:tc>
          <w:tcPr>
            <w:tcW w:w="634" w:type="pct"/>
          </w:tcPr>
          <w:p w14:paraId="1C671DD2" w14:textId="2B2DD29A" w:rsidR="00A555C8" w:rsidRPr="00500C4E" w:rsidRDefault="00A555C8" w:rsidP="00611257">
            <w:pPr>
              <w:rPr>
                <w:color w:val="FF0000"/>
                <w:szCs w:val="20"/>
              </w:rPr>
            </w:pPr>
            <w:r>
              <w:rPr>
                <w:rFonts w:cstheme="minorHAnsi"/>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192947BA" w14:textId="561E246D" w:rsidR="00AB2DA4" w:rsidRDefault="00284B34" w:rsidP="00284B34">
      <w:r>
        <w:t>The EUL and RUL values were obtained in accordance with Draft Resolution E-4807 [510]</w:t>
      </w:r>
      <w:r w:rsidR="00AB2DA4">
        <w:t xml:space="preserve">. DEER defines the RUL as 1/3 of the EUL value. The RUL value is only applicable to the first baseline period for an RET measure with an applicable code baseline. </w:t>
      </w:r>
    </w:p>
    <w:p w14:paraId="5FB17486" w14:textId="77777777" w:rsidR="00AB2DA4" w:rsidRDefault="00AB2DA4" w:rsidP="00AB2DA4">
      <w:pPr>
        <w:pStyle w:val="NoSpacing"/>
      </w:pPr>
    </w:p>
    <w:p w14:paraId="319A189D" w14:textId="2D9F6C7A" w:rsidR="00A555C8" w:rsidRPr="00920905" w:rsidRDefault="00DA5082" w:rsidP="00DA5082">
      <w:pPr>
        <w:pStyle w:val="Caption"/>
      </w:pPr>
      <w:r>
        <w:t>Effectiveness Useful Life</w:t>
      </w:r>
    </w:p>
    <w:tbl>
      <w:tblPr>
        <w:tblStyle w:val="TableGrid1"/>
        <w:tblW w:w="5000" w:type="pct"/>
        <w:tblLook w:val="04A0" w:firstRow="1" w:lastRow="0" w:firstColumn="1" w:lastColumn="0" w:noHBand="0" w:noVBand="1"/>
      </w:tblPr>
      <w:tblGrid>
        <w:gridCol w:w="1747"/>
        <w:gridCol w:w="2949"/>
        <w:gridCol w:w="921"/>
        <w:gridCol w:w="1383"/>
        <w:gridCol w:w="1233"/>
        <w:gridCol w:w="1343"/>
      </w:tblGrid>
      <w:tr w:rsidR="008B1357" w:rsidRPr="00500C4E" w14:paraId="5A9EC2BE" w14:textId="77777777" w:rsidTr="004D4092">
        <w:tc>
          <w:tcPr>
            <w:tcW w:w="912"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540"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81"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722"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644"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01"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A555C8" w:rsidRPr="00500C4E" w14:paraId="23E3B0B0" w14:textId="77777777" w:rsidTr="004D4092">
        <w:trPr>
          <w:trHeight w:val="243"/>
        </w:trPr>
        <w:tc>
          <w:tcPr>
            <w:tcW w:w="912" w:type="pct"/>
          </w:tcPr>
          <w:p w14:paraId="17A1D7F4" w14:textId="0DB038B9" w:rsidR="00A555C8" w:rsidRPr="00500C4E" w:rsidRDefault="00A555C8" w:rsidP="00A555C8">
            <w:pPr>
              <w:rPr>
                <w:color w:val="FF0000"/>
                <w:szCs w:val="20"/>
              </w:rPr>
            </w:pPr>
            <w:r>
              <w:rPr>
                <w:rFonts w:cstheme="minorHAnsi"/>
                <w:szCs w:val="20"/>
              </w:rPr>
              <w:t>GrocWlkIn-DrClsr</w:t>
            </w:r>
          </w:p>
        </w:tc>
        <w:tc>
          <w:tcPr>
            <w:tcW w:w="1540" w:type="pct"/>
          </w:tcPr>
          <w:p w14:paraId="36E678D1" w14:textId="6DBFA469" w:rsidR="00A555C8" w:rsidRPr="00500C4E" w:rsidRDefault="004D4092" w:rsidP="00A555C8">
            <w:pPr>
              <w:rPr>
                <w:color w:val="FF0000"/>
                <w:szCs w:val="20"/>
              </w:rPr>
            </w:pPr>
            <w:r w:rsidRPr="004D4092">
              <w:rPr>
                <w:rFonts w:cstheme="minorHAnsi"/>
                <w:szCs w:val="20"/>
              </w:rPr>
              <w:t>Auto-Closer for Walk-In Cooler/Freezer Doors</w:t>
            </w:r>
          </w:p>
        </w:tc>
        <w:tc>
          <w:tcPr>
            <w:tcW w:w="481" w:type="pct"/>
          </w:tcPr>
          <w:p w14:paraId="42B5C736" w14:textId="389FDEE1" w:rsidR="00A555C8" w:rsidRPr="00500C4E" w:rsidRDefault="004D4092" w:rsidP="00A555C8">
            <w:pPr>
              <w:rPr>
                <w:color w:val="FF0000"/>
                <w:szCs w:val="20"/>
              </w:rPr>
            </w:pPr>
            <w:r>
              <w:rPr>
                <w:rFonts w:cstheme="minorHAnsi"/>
                <w:szCs w:val="20"/>
              </w:rPr>
              <w:t>Com</w:t>
            </w:r>
          </w:p>
        </w:tc>
        <w:tc>
          <w:tcPr>
            <w:tcW w:w="722" w:type="pct"/>
          </w:tcPr>
          <w:p w14:paraId="52A841ED" w14:textId="01D3731E" w:rsidR="00A555C8" w:rsidRPr="00500C4E" w:rsidRDefault="004D4092" w:rsidP="00A555C8">
            <w:pPr>
              <w:rPr>
                <w:color w:val="FF0000"/>
                <w:szCs w:val="20"/>
              </w:rPr>
            </w:pPr>
            <w:r w:rsidRPr="004D4092">
              <w:rPr>
                <w:rFonts w:cstheme="minorHAnsi"/>
                <w:szCs w:val="20"/>
              </w:rPr>
              <w:t>ComRefrig</w:t>
            </w:r>
          </w:p>
        </w:tc>
        <w:tc>
          <w:tcPr>
            <w:tcW w:w="644" w:type="pct"/>
          </w:tcPr>
          <w:p w14:paraId="1BF5FCBD" w14:textId="6E1C4BE2" w:rsidR="00A555C8" w:rsidRPr="00500C4E" w:rsidRDefault="00284B34" w:rsidP="00A555C8">
            <w:pPr>
              <w:rPr>
                <w:color w:val="FF0000"/>
                <w:szCs w:val="20"/>
              </w:rPr>
            </w:pPr>
            <w:r>
              <w:rPr>
                <w:rFonts w:cstheme="minorHAnsi"/>
                <w:szCs w:val="20"/>
              </w:rPr>
              <w:t>6.67</w:t>
            </w:r>
          </w:p>
        </w:tc>
        <w:tc>
          <w:tcPr>
            <w:tcW w:w="701" w:type="pct"/>
          </w:tcPr>
          <w:p w14:paraId="46ED97C1" w14:textId="385C1C8A" w:rsidR="00A555C8" w:rsidRPr="00500C4E" w:rsidRDefault="00284B34" w:rsidP="00A555C8">
            <w:pPr>
              <w:rPr>
                <w:color w:val="FF0000"/>
                <w:szCs w:val="20"/>
              </w:rPr>
            </w:pPr>
            <w:r>
              <w:rPr>
                <w:rFonts w:cstheme="minorHAnsi"/>
                <w:szCs w:val="20"/>
              </w:rPr>
              <w:t>0</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42A3B6A3" w14:textId="44592F00" w:rsidR="00A555C8" w:rsidRDefault="00A555C8" w:rsidP="00A555C8">
      <w:pPr>
        <w:rPr>
          <w:rFonts w:cstheme="minorHAnsi"/>
          <w:szCs w:val="22"/>
        </w:rPr>
      </w:pPr>
      <w:r>
        <w:rPr>
          <w:rFonts w:cstheme="minorHAnsi"/>
          <w:szCs w:val="22"/>
        </w:rPr>
        <w:t xml:space="preserve">The </w:t>
      </w:r>
      <w:r w:rsidRPr="00DF7151">
        <w:rPr>
          <w:rFonts w:cstheme="minorHAnsi"/>
          <w:szCs w:val="22"/>
        </w:rPr>
        <w:t>201</w:t>
      </w:r>
      <w:r w:rsidR="00B32FBB">
        <w:rPr>
          <w:rFonts w:cstheme="minorHAnsi"/>
          <w:szCs w:val="22"/>
        </w:rPr>
        <w:t>5</w:t>
      </w:r>
      <w:r w:rsidRPr="00DF7151">
        <w:rPr>
          <w:rFonts w:cstheme="minorHAnsi"/>
          <w:szCs w:val="22"/>
        </w:rPr>
        <w:t xml:space="preserve"> Appliance Efficiency Regulations (Title 20) </w:t>
      </w:r>
      <w:r>
        <w:rPr>
          <w:rFonts w:cstheme="minorHAnsi"/>
          <w:szCs w:val="22"/>
        </w:rPr>
        <w:t>[422] Section 1605.1(a)(4)(A) provides the following requirements for walk-in coolers and freezers manufactured on or after January 1, 2009:</w:t>
      </w:r>
    </w:p>
    <w:p w14:paraId="1DA258C5" w14:textId="77777777" w:rsidR="00A555C8" w:rsidRDefault="00A555C8" w:rsidP="00A555C8">
      <w:pPr>
        <w:rPr>
          <w:rFonts w:cstheme="minorHAnsi"/>
          <w:szCs w:val="22"/>
        </w:rPr>
      </w:pPr>
    </w:p>
    <w:p w14:paraId="783430F7" w14:textId="77777777" w:rsidR="00A555C8" w:rsidRPr="002744E0" w:rsidRDefault="00A555C8" w:rsidP="00A555C8">
      <w:pPr>
        <w:autoSpaceDE w:val="0"/>
        <w:autoSpaceDN w:val="0"/>
        <w:adjustRightInd w:val="0"/>
        <w:rPr>
          <w:rFonts w:eastAsiaTheme="minorHAnsi" w:cs="TimesNewRomanPSMT"/>
          <w:sz w:val="18"/>
          <w:szCs w:val="22"/>
        </w:rPr>
      </w:pPr>
      <w:r>
        <w:rPr>
          <w:rFonts w:eastAsiaTheme="minorHAnsi" w:cs="TimesNewRomanPSMT"/>
          <w:sz w:val="18"/>
          <w:szCs w:val="22"/>
        </w:rPr>
        <w:t>“</w:t>
      </w:r>
      <w:r w:rsidRPr="00A33C19">
        <w:rPr>
          <w:rFonts w:eastAsiaTheme="minorHAnsi" w:cs="TimesNewRomanPSMT"/>
          <w:sz w:val="18"/>
          <w:szCs w:val="22"/>
        </w:rPr>
        <w:t xml:space="preserve">(4) </w:t>
      </w:r>
      <w:r w:rsidRPr="00A33C19">
        <w:rPr>
          <w:rFonts w:eastAsiaTheme="minorHAnsi" w:cs="TimesNewRomanPS-BoldMT"/>
          <w:b/>
          <w:bCs/>
          <w:sz w:val="18"/>
          <w:szCs w:val="22"/>
        </w:rPr>
        <w:t xml:space="preserve">Walk-In Coolers and Walk-In Freezers. </w:t>
      </w:r>
      <w:r w:rsidRPr="00A33C19">
        <w:rPr>
          <w:rFonts w:eastAsiaTheme="minorHAnsi" w:cs="TimesNewRomanPSMT"/>
          <w:sz w:val="18"/>
          <w:szCs w:val="22"/>
        </w:rPr>
        <w:t>Walk-in coolers and walk-in freezers manufactured on or after January 1, 2009 shall:</w:t>
      </w:r>
    </w:p>
    <w:p w14:paraId="054764CD" w14:textId="77777777" w:rsidR="00A555C8" w:rsidRDefault="00A555C8" w:rsidP="00A555C8">
      <w:pPr>
        <w:autoSpaceDE w:val="0"/>
        <w:autoSpaceDN w:val="0"/>
        <w:adjustRightInd w:val="0"/>
        <w:rPr>
          <w:rFonts w:eastAsiaTheme="minorHAnsi" w:cs="TimesNewRomanPSMT"/>
          <w:sz w:val="18"/>
          <w:szCs w:val="22"/>
        </w:rPr>
      </w:pPr>
      <w:r w:rsidRPr="00A33C19">
        <w:rPr>
          <w:rFonts w:eastAsiaTheme="minorHAnsi" w:cs="TimesNewRomanPSMT"/>
          <w:sz w:val="18"/>
          <w:szCs w:val="22"/>
        </w:rPr>
        <w:t>(A) have automatic door closers that firmly close all walk-in doors that have been closed to within one</w:t>
      </w:r>
      <w:r>
        <w:rPr>
          <w:rFonts w:eastAsiaTheme="minorHAnsi" w:cs="TimesNewRomanPSMT"/>
          <w:sz w:val="18"/>
          <w:szCs w:val="22"/>
        </w:rPr>
        <w:t xml:space="preserve"> </w:t>
      </w:r>
      <w:r w:rsidRPr="00A33C19">
        <w:rPr>
          <w:rFonts w:eastAsiaTheme="minorHAnsi" w:cs="TimesNewRomanPSMT"/>
          <w:sz w:val="18"/>
          <w:szCs w:val="22"/>
        </w:rPr>
        <w:t>inch of full closure, except that this subparagraph shall not apply to doors wider than three feet nine</w:t>
      </w:r>
      <w:r>
        <w:rPr>
          <w:rFonts w:eastAsiaTheme="minorHAnsi" w:cs="TimesNewRomanPSMT"/>
          <w:sz w:val="18"/>
          <w:szCs w:val="22"/>
        </w:rPr>
        <w:t xml:space="preserve"> </w:t>
      </w:r>
      <w:r w:rsidRPr="00A33C19">
        <w:rPr>
          <w:rFonts w:eastAsiaTheme="minorHAnsi" w:cs="TimesNewRomanPSMT"/>
          <w:sz w:val="18"/>
          <w:szCs w:val="22"/>
        </w:rPr>
        <w:t>inches or taller than seven feet;</w:t>
      </w:r>
      <w:r>
        <w:rPr>
          <w:rFonts w:eastAsiaTheme="minorHAnsi" w:cs="TimesNewRomanPSMT"/>
          <w:sz w:val="18"/>
          <w:szCs w:val="22"/>
        </w:rPr>
        <w:t>”</w:t>
      </w:r>
    </w:p>
    <w:p w14:paraId="1EF2C3B2" w14:textId="77777777" w:rsidR="00A555C8" w:rsidRDefault="00A555C8" w:rsidP="00A555C8">
      <w:pPr>
        <w:rPr>
          <w:rFonts w:eastAsiaTheme="minorHAnsi" w:cs="TimesNewRomanPSMT"/>
          <w:szCs w:val="22"/>
        </w:rPr>
      </w:pPr>
    </w:p>
    <w:p w14:paraId="2EF16D17" w14:textId="32C47718" w:rsidR="00A555C8" w:rsidRPr="00A555C8" w:rsidRDefault="00A555C8" w:rsidP="00A555C8">
      <w:pPr>
        <w:pStyle w:val="Caption"/>
        <w:keepNext/>
        <w:rPr>
          <w:rFonts w:cstheme="minorHAnsi"/>
          <w:b w:val="0"/>
          <w:szCs w:val="22"/>
        </w:rPr>
      </w:pPr>
      <w:r w:rsidRPr="00A555C8">
        <w:rPr>
          <w:rFonts w:eastAsiaTheme="minorHAnsi" w:cs="TimesNewRomanPSMT"/>
          <w:b w:val="0"/>
          <w:szCs w:val="22"/>
        </w:rPr>
        <w:t>The code does not apply to retrofit add-on measures, and therefore does no</w:t>
      </w:r>
      <w:r w:rsidR="00E9619C">
        <w:rPr>
          <w:rFonts w:eastAsiaTheme="minorHAnsi" w:cs="TimesNewRomanPSMT"/>
          <w:b w:val="0"/>
          <w:szCs w:val="22"/>
        </w:rPr>
        <w:t>t</w:t>
      </w:r>
      <w:r w:rsidRPr="00A555C8">
        <w:rPr>
          <w:rFonts w:eastAsiaTheme="minorHAnsi" w:cs="TimesNewRomanPSMT"/>
          <w:b w:val="0"/>
          <w:szCs w:val="22"/>
        </w:rPr>
        <w:t xml:space="preserve"> impact the measures in this work paper. However, the requirement of auto-closers applies to walk-ins manufactured on or after </w:t>
      </w:r>
      <w:r w:rsidR="00136BAD">
        <w:rPr>
          <w:rFonts w:eastAsiaTheme="minorHAnsi" w:cs="TimesNewRomanPSMT"/>
          <w:b w:val="0"/>
          <w:szCs w:val="22"/>
        </w:rPr>
        <w:t>January 1, 2009</w:t>
      </w:r>
      <w:r>
        <w:rPr>
          <w:rFonts w:eastAsiaTheme="minorHAnsi" w:cs="TimesNewRomanPSMT"/>
          <w:b w:val="0"/>
          <w:szCs w:val="22"/>
        </w:rPr>
        <w:t>.</w:t>
      </w:r>
    </w:p>
    <w:p w14:paraId="7EF2C605" w14:textId="77777777" w:rsidR="00A555C8" w:rsidRPr="00A555C8" w:rsidRDefault="00A555C8" w:rsidP="00A555C8"/>
    <w:p w14:paraId="284601E7" w14:textId="410F3A65" w:rsidR="00B07EE5" w:rsidRPr="00500C4E" w:rsidRDefault="005A1078" w:rsidP="00DA5082">
      <w:pPr>
        <w:pStyle w:val="Caption"/>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EE3703">
        <w:tc>
          <w:tcPr>
            <w:tcW w:w="1155" w:type="pct"/>
            <w:shd w:val="clear" w:color="auto" w:fill="D9D9D9" w:themeFill="background1" w:themeFillShade="D9"/>
          </w:tcPr>
          <w:p w14:paraId="20C3C2B4" w14:textId="77777777" w:rsidR="00881A42" w:rsidRPr="00920905" w:rsidRDefault="00881A42" w:rsidP="00EE3703">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EE3703">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EE3703">
            <w:pPr>
              <w:rPr>
                <w:rFonts w:cstheme="minorHAnsi"/>
                <w:b/>
                <w:szCs w:val="20"/>
              </w:rPr>
            </w:pPr>
            <w:r w:rsidRPr="00920905">
              <w:rPr>
                <w:rFonts w:cstheme="minorHAnsi"/>
                <w:b/>
                <w:szCs w:val="20"/>
              </w:rPr>
              <w:t>Effective Date</w:t>
            </w:r>
            <w:r w:rsidR="00CB04D2">
              <w:rPr>
                <w:rFonts w:cstheme="minorHAnsi"/>
                <w:b/>
                <w:szCs w:val="20"/>
              </w:rPr>
              <w:t>s</w:t>
            </w:r>
          </w:p>
        </w:tc>
      </w:tr>
      <w:tr w:rsidR="00A555C8" w:rsidRPr="00500C4E" w14:paraId="41E6B4DA" w14:textId="77777777" w:rsidTr="00EE3703">
        <w:trPr>
          <w:trHeight w:val="243"/>
        </w:trPr>
        <w:tc>
          <w:tcPr>
            <w:tcW w:w="1155" w:type="pct"/>
          </w:tcPr>
          <w:p w14:paraId="16A44F28" w14:textId="004012F5" w:rsidR="00A555C8" w:rsidRPr="00500C4E" w:rsidRDefault="00A555C8" w:rsidP="00EE3703">
            <w:pPr>
              <w:rPr>
                <w:rFonts w:cstheme="minorHAnsi"/>
                <w:szCs w:val="20"/>
              </w:rPr>
            </w:pPr>
            <w:r>
              <w:rPr>
                <w:rFonts w:cstheme="minorHAnsi"/>
                <w:szCs w:val="20"/>
              </w:rPr>
              <w:t>Title 20 (201</w:t>
            </w:r>
            <w:r w:rsidR="006022E7">
              <w:rPr>
                <w:rFonts w:cstheme="minorHAnsi"/>
                <w:szCs w:val="20"/>
              </w:rPr>
              <w:t>5</w:t>
            </w:r>
            <w:r w:rsidRPr="00506971">
              <w:rPr>
                <w:rFonts w:cstheme="minorHAnsi"/>
                <w:szCs w:val="20"/>
              </w:rPr>
              <w:t>)</w:t>
            </w:r>
          </w:p>
        </w:tc>
        <w:tc>
          <w:tcPr>
            <w:tcW w:w="2711" w:type="pct"/>
          </w:tcPr>
          <w:p w14:paraId="387D6828" w14:textId="50E10A72" w:rsidR="00A555C8" w:rsidRPr="00500C4E" w:rsidRDefault="00A555C8" w:rsidP="00EE3703">
            <w:pPr>
              <w:rPr>
                <w:rFonts w:cstheme="minorHAnsi"/>
                <w:color w:val="FF0000"/>
                <w:szCs w:val="20"/>
              </w:rPr>
            </w:pPr>
            <w:r>
              <w:rPr>
                <w:rFonts w:cstheme="minorHAnsi"/>
                <w:szCs w:val="20"/>
              </w:rPr>
              <w:t>Section 1605.1(a)(4)</w:t>
            </w:r>
          </w:p>
        </w:tc>
        <w:tc>
          <w:tcPr>
            <w:tcW w:w="1134" w:type="pct"/>
          </w:tcPr>
          <w:p w14:paraId="3E1189F8" w14:textId="3C8CC535" w:rsidR="00A555C8" w:rsidRPr="00500C4E" w:rsidRDefault="00172BC7">
            <w:pPr>
              <w:rPr>
                <w:rFonts w:cstheme="minorHAnsi"/>
                <w:color w:val="FF0000"/>
                <w:szCs w:val="20"/>
              </w:rPr>
            </w:pPr>
            <w:r>
              <w:rPr>
                <w:rFonts w:cstheme="minorHAnsi"/>
                <w:szCs w:val="20"/>
              </w:rPr>
              <w:t xml:space="preserve">July </w:t>
            </w:r>
            <w:r w:rsidR="00136BAD">
              <w:rPr>
                <w:rFonts w:cstheme="minorHAnsi"/>
                <w:szCs w:val="20"/>
              </w:rPr>
              <w:t>1, 20</w:t>
            </w:r>
            <w:r>
              <w:rPr>
                <w:rFonts w:cstheme="minorHAnsi"/>
                <w:szCs w:val="20"/>
              </w:rPr>
              <w:t>15</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417607D6" w:rsidR="00572D2F" w:rsidRDefault="00572D2F" w:rsidP="00920905">
      <w:pPr>
        <w:pStyle w:val="Heading3"/>
        <w:rPr>
          <w:rFonts w:asciiTheme="minorHAnsi" w:hAnsiTheme="minorHAnsi"/>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A555C8" w:rsidRPr="00AB21F5">
        <w:rPr>
          <w:rFonts w:asciiTheme="minorHAnsi" w:hAnsiTheme="minorHAnsi"/>
        </w:rPr>
        <w:t>Non-DEER Study Review</w:t>
      </w:r>
    </w:p>
    <w:p w14:paraId="4CC65A22" w14:textId="5D7401A7" w:rsidR="00A555C8" w:rsidRPr="00A555C8" w:rsidRDefault="00A555C8" w:rsidP="00A555C8">
      <w:r w:rsidRPr="007F1316">
        <w:rPr>
          <w:rFonts w:cstheme="minorHAnsi"/>
          <w:szCs w:val="22"/>
        </w:rPr>
        <w:t>All references used in this work paper were from current or past DEER.</w:t>
      </w:r>
    </w:p>
    <w:p w14:paraId="7595638C" w14:textId="76F7B06D" w:rsidR="00A555C8" w:rsidRPr="00A555C8" w:rsidRDefault="009844A1" w:rsidP="00A555C8">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7F18D6DC" w14:textId="17384534" w:rsidR="00A555C8" w:rsidRPr="00A555C8" w:rsidRDefault="00A555C8" w:rsidP="00A555C8">
      <w:r>
        <w:t>N/A</w:t>
      </w:r>
    </w:p>
    <w:p w14:paraId="64C39C41" w14:textId="16E32C10" w:rsidR="00A555C8" w:rsidRDefault="00E16609" w:rsidP="00E16609">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bookmarkStart w:id="17" w:name="_Toc214003093"/>
    </w:p>
    <w:p w14:paraId="24ACB524" w14:textId="7F764E9A" w:rsidR="00A555C8" w:rsidRDefault="00A555C8" w:rsidP="00A555C8">
      <w:pPr>
        <w:pStyle w:val="Reminders"/>
        <w:rPr>
          <w:rFonts w:asciiTheme="minorHAnsi" w:hAnsiTheme="minorHAnsi" w:cstheme="minorHAnsi"/>
          <w:i w:val="0"/>
          <w:color w:val="auto"/>
          <w:szCs w:val="22"/>
        </w:rPr>
      </w:pPr>
      <w:r w:rsidRPr="00473D35">
        <w:rPr>
          <w:rFonts w:asciiTheme="minorHAnsi" w:hAnsiTheme="minorHAnsi" w:cstheme="minorHAnsi"/>
          <w:i w:val="0"/>
          <w:color w:val="auto"/>
          <w:szCs w:val="22"/>
        </w:rPr>
        <w:t>The measures in this work paper are not in DEER 201</w:t>
      </w:r>
      <w:r w:rsidR="00B54BA4">
        <w:rPr>
          <w:rFonts w:asciiTheme="minorHAnsi" w:hAnsiTheme="minorHAnsi" w:cstheme="minorHAnsi"/>
          <w:i w:val="0"/>
          <w:color w:val="auto"/>
          <w:szCs w:val="22"/>
        </w:rPr>
        <w:t>7</w:t>
      </w:r>
      <w:r w:rsidRPr="00473D35">
        <w:rPr>
          <w:rFonts w:asciiTheme="minorHAnsi" w:hAnsiTheme="minorHAnsi" w:cstheme="minorHAnsi"/>
          <w:i w:val="0"/>
          <w:color w:val="auto"/>
          <w:szCs w:val="22"/>
        </w:rPr>
        <w:t>, so the energy savings were determined through building simulation in eQUEST 3.65 Refrigeration. Only the Grocery building type was simulated, and its savings were used for other building types because walk-in coolers and freezers generally have the same characteristics regardless of building type.</w:t>
      </w:r>
    </w:p>
    <w:p w14:paraId="10ADDB5B" w14:textId="77777777" w:rsidR="00A555C8" w:rsidRDefault="00A555C8" w:rsidP="00A555C8">
      <w:pPr>
        <w:pStyle w:val="Reminders"/>
        <w:rPr>
          <w:rFonts w:asciiTheme="minorHAnsi" w:hAnsiTheme="minorHAnsi" w:cstheme="minorHAnsi"/>
          <w:i w:val="0"/>
          <w:color w:val="auto"/>
          <w:szCs w:val="22"/>
        </w:rPr>
      </w:pPr>
    </w:p>
    <w:p w14:paraId="78C4EB27" w14:textId="77777777" w:rsidR="00A555C8" w:rsidRPr="0004002D" w:rsidRDefault="00A555C8" w:rsidP="00A555C8">
      <w:pPr>
        <w:pStyle w:val="Reminders"/>
        <w:rPr>
          <w:rFonts w:asciiTheme="minorHAnsi" w:hAnsiTheme="minorHAnsi" w:cstheme="minorHAnsi"/>
          <w:i w:val="0"/>
          <w:color w:val="auto"/>
          <w:szCs w:val="22"/>
          <w:u w:val="single"/>
        </w:rPr>
      </w:pPr>
      <w:r w:rsidRPr="0004002D">
        <w:rPr>
          <w:rFonts w:asciiTheme="minorHAnsi" w:hAnsiTheme="minorHAnsi" w:cstheme="minorHAnsi"/>
          <w:i w:val="0"/>
          <w:color w:val="auto"/>
          <w:szCs w:val="22"/>
          <w:u w:val="single"/>
        </w:rPr>
        <w:t xml:space="preserve">Prototype generation </w:t>
      </w:r>
    </w:p>
    <w:p w14:paraId="357E20BE" w14:textId="77777777" w:rsidR="00A555C8" w:rsidRPr="0004002D"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 xml:space="preserve">MASControl v3.00.20 was used to generate the DEER 2014 Grocery prototype files using the following parameters: </w:t>
      </w:r>
    </w:p>
    <w:p w14:paraId="42BAF051"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Building Type: Grocery </w:t>
      </w:r>
    </w:p>
    <w:p w14:paraId="18A21E5B"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Climate Zones: 1, 2, 3, 4, 5, 6, 8, 9, 10, 11, 12, 13, 14, 15, 16 </w:t>
      </w:r>
    </w:p>
    <w:p w14:paraId="1E73551D"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Vintage: “14” (years 2014-2015) </w:t>
      </w:r>
    </w:p>
    <w:p w14:paraId="4994FB06"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HVAC Type: Blank (Default) </w:t>
      </w:r>
    </w:p>
    <w:p w14:paraId="736EE593"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Thermostat Options: Blank (Default) </w:t>
      </w:r>
    </w:p>
    <w:p w14:paraId="006A34CA"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Case Options: CAv (Customer Average), C13 (Code 2013) </w:t>
      </w:r>
    </w:p>
    <w:p w14:paraId="0577CA94" w14:textId="77777777" w:rsidR="00A555C8" w:rsidRPr="0004002D"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w:t>
      </w:r>
      <w:r w:rsidRPr="0004002D">
        <w:rPr>
          <w:rFonts w:asciiTheme="minorHAnsi" w:hAnsiTheme="minorHAnsi" w:cstheme="minorHAnsi"/>
          <w:i w:val="0"/>
          <w:color w:val="auto"/>
          <w:szCs w:val="22"/>
        </w:rPr>
        <w:t xml:space="preserve">Tech ID: “D08-NE-HVAC-airAC-SpltPkg-135to239kBtuh-10p8eer” </w:t>
      </w:r>
    </w:p>
    <w:p w14:paraId="5FA35526" w14:textId="77777777" w:rsidR="00A555C8" w:rsidRPr="0004002D" w:rsidRDefault="00A555C8" w:rsidP="00A555C8">
      <w:pPr>
        <w:pStyle w:val="Reminders"/>
        <w:rPr>
          <w:rFonts w:asciiTheme="minorHAnsi" w:hAnsiTheme="minorHAnsi" w:cstheme="minorHAnsi"/>
          <w:i w:val="0"/>
          <w:color w:val="auto"/>
          <w:szCs w:val="22"/>
        </w:rPr>
      </w:pPr>
    </w:p>
    <w:p w14:paraId="18067FC9" w14:textId="78B26DAB" w:rsidR="00A555C8" w:rsidRPr="0004002D"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The C13 case model was used as the baseline for this work paper. The Energy Division advised that the prototype’s refrigeration systems were not updated after DEER 2005 and therefore may not reflect industry standard practice and/or code. Since a non-refrigeration Tech ID was selected, the HVAC system, building envelope, and other systems should be compliant with Title 24 201</w:t>
      </w:r>
      <w:r w:rsidR="002E3D89">
        <w:rPr>
          <w:rFonts w:asciiTheme="minorHAnsi" w:hAnsiTheme="minorHAnsi" w:cstheme="minorHAnsi"/>
          <w:i w:val="0"/>
          <w:color w:val="auto"/>
          <w:szCs w:val="22"/>
        </w:rPr>
        <w:t>6</w:t>
      </w:r>
      <w:r w:rsidRPr="0004002D">
        <w:rPr>
          <w:rFonts w:asciiTheme="minorHAnsi" w:hAnsiTheme="minorHAnsi" w:cstheme="minorHAnsi"/>
          <w:i w:val="0"/>
          <w:color w:val="auto"/>
          <w:szCs w:val="22"/>
        </w:rPr>
        <w:t xml:space="preserve"> standards. </w:t>
      </w:r>
    </w:p>
    <w:p w14:paraId="4C61089A" w14:textId="77777777" w:rsidR="00A555C8" w:rsidRPr="0004002D" w:rsidRDefault="00A555C8" w:rsidP="00A555C8">
      <w:pPr>
        <w:pStyle w:val="Reminders"/>
        <w:rPr>
          <w:rFonts w:asciiTheme="minorHAnsi" w:hAnsiTheme="minorHAnsi" w:cstheme="minorHAnsi"/>
          <w:i w:val="0"/>
          <w:color w:val="auto"/>
          <w:szCs w:val="22"/>
        </w:rPr>
      </w:pPr>
    </w:p>
    <w:p w14:paraId="4193D9D5" w14:textId="77777777" w:rsidR="00A555C8" w:rsidRPr="0004002D" w:rsidRDefault="00A555C8" w:rsidP="00A555C8">
      <w:pPr>
        <w:pStyle w:val="Reminders"/>
        <w:rPr>
          <w:rFonts w:asciiTheme="minorHAnsi" w:hAnsiTheme="minorHAnsi" w:cstheme="minorHAnsi"/>
          <w:i w:val="0"/>
          <w:color w:val="auto"/>
          <w:szCs w:val="22"/>
          <w:u w:val="single"/>
        </w:rPr>
      </w:pPr>
      <w:r w:rsidRPr="0004002D">
        <w:rPr>
          <w:rFonts w:asciiTheme="minorHAnsi" w:hAnsiTheme="minorHAnsi" w:cstheme="minorHAnsi"/>
          <w:i w:val="0"/>
          <w:color w:val="auto"/>
          <w:szCs w:val="22"/>
          <w:u w:val="single"/>
        </w:rPr>
        <w:t xml:space="preserve">Simulation </w:t>
      </w:r>
    </w:p>
    <w:p w14:paraId="60188AB5" w14:textId="77777777" w:rsidR="00A555C8"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In order to create the measure cases, the baseline eQUEST model was edited.  Infiltration into the coolers is modeled as a SOURCE load in the SPACE command. The measure applies a multiplier of 0.60 to the base case source load; effectively reducing infiltration by 40% on average.</w:t>
      </w:r>
    </w:p>
    <w:p w14:paraId="288E22CA" w14:textId="77777777" w:rsidR="00A555C8" w:rsidRDefault="00A555C8" w:rsidP="00A555C8">
      <w:pPr>
        <w:pStyle w:val="Reminders"/>
        <w:rPr>
          <w:rFonts w:asciiTheme="minorHAnsi" w:hAnsiTheme="minorHAnsi" w:cstheme="minorHAnsi"/>
          <w:i w:val="0"/>
          <w:color w:val="auto"/>
          <w:szCs w:val="22"/>
        </w:rPr>
      </w:pPr>
    </w:p>
    <w:p w14:paraId="6FD95B79" w14:textId="77777777" w:rsidR="00A555C8" w:rsidRDefault="00A555C8" w:rsidP="00A555C8">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differs from the method used to estimate the energy savings in the DEER05 calculations. The DEER05 calculations assumed a 40% reduction in the source power of the cooler. The new method reduces the infiltration rate of the cooler as defined by the measure. </w:t>
      </w:r>
    </w:p>
    <w:p w14:paraId="009724BA" w14:textId="77777777" w:rsidR="00A555C8" w:rsidRDefault="00A555C8" w:rsidP="00A555C8">
      <w:pPr>
        <w:pStyle w:val="Reminders"/>
        <w:rPr>
          <w:rFonts w:asciiTheme="minorHAnsi" w:hAnsiTheme="minorHAnsi" w:cstheme="minorHAnsi"/>
          <w:i w:val="0"/>
          <w:color w:val="auto"/>
          <w:szCs w:val="22"/>
        </w:rPr>
      </w:pPr>
    </w:p>
    <w:p w14:paraId="4168991C" w14:textId="77777777" w:rsidR="00A555C8" w:rsidRPr="0004002D"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The simulation results were tabulated, and savings were determined; see Attachment 2. See Attachmen</w:t>
      </w:r>
      <w:r>
        <w:rPr>
          <w:rFonts w:asciiTheme="minorHAnsi" w:hAnsiTheme="minorHAnsi" w:cstheme="minorHAnsi"/>
          <w:i w:val="0"/>
          <w:color w:val="auto"/>
          <w:szCs w:val="22"/>
        </w:rPr>
        <w:t xml:space="preserve">t 3 for the eQUEST files used. </w:t>
      </w:r>
      <w:r w:rsidRPr="0004002D">
        <w:rPr>
          <w:rFonts w:asciiTheme="minorHAnsi" w:hAnsiTheme="minorHAnsi" w:cstheme="minorHAnsi"/>
          <w:i w:val="0"/>
          <w:color w:val="auto"/>
          <w:szCs w:val="22"/>
        </w:rPr>
        <w:t xml:space="preserve"> </w:t>
      </w:r>
    </w:p>
    <w:p w14:paraId="64C6A116" w14:textId="77777777" w:rsidR="00A555C8" w:rsidRPr="0004002D" w:rsidRDefault="00A555C8" w:rsidP="00A555C8">
      <w:pPr>
        <w:pStyle w:val="Reminders"/>
        <w:rPr>
          <w:rFonts w:asciiTheme="minorHAnsi" w:hAnsiTheme="minorHAnsi" w:cstheme="minorHAnsi"/>
          <w:i w:val="0"/>
          <w:color w:val="auto"/>
          <w:szCs w:val="22"/>
        </w:rPr>
      </w:pPr>
    </w:p>
    <w:p w14:paraId="331EAD19" w14:textId="77777777" w:rsidR="00A555C8" w:rsidRPr="0004002D"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 xml:space="preserve">Demand reduction: The DEER peak demand was calculated from the eQUEST hourly data by averaging the demand from 2pm to 5pm during the DEER peak period, which varies by climate zone. </w:t>
      </w:r>
    </w:p>
    <w:p w14:paraId="3AE36555" w14:textId="77777777" w:rsidR="00A555C8" w:rsidRPr="0004002D" w:rsidRDefault="00A555C8" w:rsidP="00A555C8">
      <w:pPr>
        <w:pStyle w:val="Reminders"/>
        <w:rPr>
          <w:rFonts w:asciiTheme="minorHAnsi" w:hAnsiTheme="minorHAnsi" w:cstheme="minorHAnsi"/>
          <w:i w:val="0"/>
          <w:color w:val="auto"/>
          <w:szCs w:val="22"/>
        </w:rPr>
      </w:pPr>
    </w:p>
    <w:p w14:paraId="40B35222" w14:textId="01952364" w:rsidR="00A555C8" w:rsidRDefault="00A555C8" w:rsidP="00A555C8">
      <w:pPr>
        <w:pStyle w:val="Reminders"/>
        <w:rPr>
          <w:rFonts w:asciiTheme="minorHAnsi" w:hAnsiTheme="minorHAnsi" w:cstheme="minorHAnsi"/>
          <w:i w:val="0"/>
          <w:color w:val="auto"/>
          <w:szCs w:val="22"/>
        </w:rPr>
      </w:pPr>
      <w:r w:rsidRPr="0004002D">
        <w:rPr>
          <w:rFonts w:asciiTheme="minorHAnsi" w:hAnsiTheme="minorHAnsi" w:cstheme="minorHAnsi"/>
          <w:i w:val="0"/>
          <w:color w:val="auto"/>
          <w:szCs w:val="22"/>
        </w:rPr>
        <w:t xml:space="preserve">A complete list of savings </w:t>
      </w:r>
      <w:r w:rsidR="00C30E92">
        <w:rPr>
          <w:rFonts w:asciiTheme="minorHAnsi" w:hAnsiTheme="minorHAnsi" w:cstheme="minorHAnsi"/>
          <w:i w:val="0"/>
          <w:color w:val="auto"/>
          <w:szCs w:val="22"/>
        </w:rPr>
        <w:t>can be found within</w:t>
      </w:r>
      <w:r w:rsidRPr="0004002D">
        <w:rPr>
          <w:rFonts w:asciiTheme="minorHAnsi" w:hAnsiTheme="minorHAnsi" w:cstheme="minorHAnsi"/>
          <w:i w:val="0"/>
          <w:color w:val="auto"/>
          <w:szCs w:val="22"/>
        </w:rPr>
        <w:t xml:space="preserve"> Attachment</w:t>
      </w:r>
      <w:r w:rsidR="00C30E92">
        <w:rPr>
          <w:rFonts w:asciiTheme="minorHAnsi" w:hAnsiTheme="minorHAnsi" w:cstheme="minorHAnsi"/>
          <w:i w:val="0"/>
          <w:color w:val="auto"/>
          <w:szCs w:val="22"/>
        </w:rPr>
        <w:t xml:space="preserve"> 1</w:t>
      </w:r>
      <w:r w:rsidRPr="0004002D">
        <w:rPr>
          <w:rFonts w:asciiTheme="minorHAnsi" w:hAnsiTheme="minorHAnsi" w:cstheme="minorHAnsi"/>
          <w:i w:val="0"/>
          <w:color w:val="auto"/>
          <w:szCs w:val="22"/>
        </w:rPr>
        <w:t>.</w:t>
      </w:r>
    </w:p>
    <w:p w14:paraId="3A62BD8A" w14:textId="3E383FED" w:rsidR="00A555C8" w:rsidRPr="00EA3E00" w:rsidRDefault="00C30E92" w:rsidP="00A555C8">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 </w:t>
      </w:r>
    </w:p>
    <w:p w14:paraId="790E3324" w14:textId="30BE33C8" w:rsidR="00A555C8" w:rsidRDefault="00163269" w:rsidP="00A555C8">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676C70">
        <w:rPr>
          <w:rFonts w:asciiTheme="minorHAnsi" w:hAnsiTheme="minorHAnsi" w:cstheme="minorHAnsi"/>
          <w:i w:val="0"/>
          <w:color w:val="auto"/>
          <w:szCs w:val="22"/>
        </w:rPr>
        <w:t>t</w:t>
      </w:r>
      <w:r>
        <w:rPr>
          <w:rFonts w:asciiTheme="minorHAnsi" w:hAnsiTheme="minorHAnsi" w:cstheme="minorHAnsi"/>
          <w:i w:val="0"/>
          <w:color w:val="auto"/>
          <w:szCs w:val="22"/>
        </w:rPr>
        <w:t>able below</w:t>
      </w:r>
      <w:r w:rsidR="00A555C8" w:rsidRPr="00EA3E00">
        <w:rPr>
          <w:rFonts w:asciiTheme="minorHAnsi" w:hAnsiTheme="minorHAnsi" w:cstheme="minorHAnsi"/>
          <w:i w:val="0"/>
          <w:color w:val="auto"/>
          <w:szCs w:val="22"/>
        </w:rPr>
        <w:t xml:space="preserve"> shows sample </w:t>
      </w:r>
      <w:r w:rsidR="00A555C8">
        <w:rPr>
          <w:rFonts w:asciiTheme="minorHAnsi" w:hAnsiTheme="minorHAnsi" w:cstheme="minorHAnsi"/>
          <w:i w:val="0"/>
          <w:color w:val="auto"/>
          <w:szCs w:val="22"/>
        </w:rPr>
        <w:t xml:space="preserve">cooler </w:t>
      </w:r>
      <w:r w:rsidR="00A555C8" w:rsidRPr="00EA3E00">
        <w:rPr>
          <w:rFonts w:asciiTheme="minorHAnsi" w:hAnsiTheme="minorHAnsi" w:cstheme="minorHAnsi"/>
          <w:i w:val="0"/>
          <w:color w:val="auto"/>
          <w:szCs w:val="22"/>
        </w:rPr>
        <w:t>energy and demand savings for this work paper.</w:t>
      </w:r>
    </w:p>
    <w:p w14:paraId="30CCEE61" w14:textId="77777777" w:rsidR="00A555C8" w:rsidRPr="00D670BE" w:rsidRDefault="00A555C8" w:rsidP="00A555C8">
      <w:pPr>
        <w:pStyle w:val="Reminders"/>
        <w:spacing w:before="0" w:after="0"/>
        <w:rPr>
          <w:rFonts w:asciiTheme="minorHAnsi" w:hAnsiTheme="minorHAnsi" w:cstheme="minorHAnsi"/>
          <w:i w:val="0"/>
          <w:color w:val="auto"/>
          <w:szCs w:val="22"/>
        </w:rPr>
      </w:pPr>
    </w:p>
    <w:p w14:paraId="40E1D448" w14:textId="76619F1F" w:rsidR="00A555C8" w:rsidRDefault="00A555C8" w:rsidP="00DA5082">
      <w:pPr>
        <w:pStyle w:val="Caption"/>
        <w:rPr>
          <w:rFonts w:cstheme="minorHAnsi"/>
          <w:b w:val="0"/>
          <w:bCs w:val="0"/>
          <w:i/>
          <w:szCs w:val="22"/>
        </w:rPr>
      </w:pPr>
      <w:r w:rsidRPr="00EA3E00">
        <w:rPr>
          <w:rFonts w:cstheme="minorHAnsi"/>
          <w:szCs w:val="22"/>
        </w:rPr>
        <w:t>Energy and Demand Savings</w:t>
      </w:r>
    </w:p>
    <w:tbl>
      <w:tblPr>
        <w:tblStyle w:val="TableGrid1"/>
        <w:tblW w:w="9483" w:type="dxa"/>
        <w:tblLook w:val="04A0" w:firstRow="1" w:lastRow="0" w:firstColumn="1" w:lastColumn="0" w:noHBand="0" w:noVBand="1"/>
      </w:tblPr>
      <w:tblGrid>
        <w:gridCol w:w="2418"/>
        <w:gridCol w:w="893"/>
        <w:gridCol w:w="852"/>
        <w:gridCol w:w="1142"/>
        <w:gridCol w:w="1530"/>
        <w:gridCol w:w="1170"/>
        <w:gridCol w:w="1478"/>
      </w:tblGrid>
      <w:tr w:rsidR="00A555C8" w:rsidRPr="00473D35" w14:paraId="17F7B6F2" w14:textId="77777777" w:rsidTr="00F70B5D">
        <w:trPr>
          <w:trHeight w:val="1050"/>
        </w:trPr>
        <w:tc>
          <w:tcPr>
            <w:tcW w:w="2418" w:type="dxa"/>
            <w:shd w:val="clear" w:color="auto" w:fill="D9D9D9" w:themeFill="background1" w:themeFillShade="D9"/>
            <w:hideMark/>
          </w:tcPr>
          <w:p w14:paraId="3299AE37" w14:textId="77777777" w:rsidR="00A555C8" w:rsidRPr="00473D35" w:rsidRDefault="00A555C8" w:rsidP="00F70B5D">
            <w:pPr>
              <w:rPr>
                <w:rFonts w:ascii="Calibri" w:hAnsi="Calibri"/>
                <w:b/>
                <w:bCs/>
                <w:szCs w:val="20"/>
              </w:rPr>
            </w:pPr>
            <w:r w:rsidRPr="00473D35">
              <w:rPr>
                <w:rFonts w:ascii="Calibri" w:hAnsi="Calibri"/>
                <w:b/>
                <w:bCs/>
                <w:szCs w:val="20"/>
              </w:rPr>
              <w:t>Measure Name</w:t>
            </w:r>
          </w:p>
        </w:tc>
        <w:tc>
          <w:tcPr>
            <w:tcW w:w="893" w:type="dxa"/>
            <w:shd w:val="clear" w:color="auto" w:fill="D9D9D9" w:themeFill="background1" w:themeFillShade="D9"/>
            <w:hideMark/>
          </w:tcPr>
          <w:p w14:paraId="4CBD4893" w14:textId="77777777" w:rsidR="00A555C8" w:rsidRPr="00473D35" w:rsidRDefault="00A555C8" w:rsidP="00F70B5D">
            <w:pPr>
              <w:rPr>
                <w:rFonts w:ascii="Calibri" w:hAnsi="Calibri"/>
                <w:b/>
                <w:bCs/>
                <w:szCs w:val="20"/>
              </w:rPr>
            </w:pPr>
            <w:r w:rsidRPr="00473D35">
              <w:rPr>
                <w:rFonts w:ascii="Calibri" w:hAnsi="Calibri"/>
                <w:b/>
                <w:bCs/>
                <w:szCs w:val="20"/>
              </w:rPr>
              <w:t>Building Type</w:t>
            </w:r>
          </w:p>
        </w:tc>
        <w:tc>
          <w:tcPr>
            <w:tcW w:w="852" w:type="dxa"/>
            <w:shd w:val="clear" w:color="auto" w:fill="D9D9D9" w:themeFill="background1" w:themeFillShade="D9"/>
            <w:hideMark/>
          </w:tcPr>
          <w:p w14:paraId="14960C04" w14:textId="77777777" w:rsidR="00A555C8" w:rsidRPr="00473D35" w:rsidRDefault="00A555C8" w:rsidP="00F70B5D">
            <w:pPr>
              <w:rPr>
                <w:rFonts w:ascii="Calibri" w:hAnsi="Calibri"/>
                <w:b/>
                <w:bCs/>
                <w:szCs w:val="20"/>
              </w:rPr>
            </w:pPr>
            <w:r w:rsidRPr="00473D35">
              <w:rPr>
                <w:rFonts w:ascii="Calibri" w:hAnsi="Calibri"/>
                <w:b/>
                <w:bCs/>
                <w:szCs w:val="20"/>
              </w:rPr>
              <w:t>Climate Zone</w:t>
            </w:r>
          </w:p>
        </w:tc>
        <w:tc>
          <w:tcPr>
            <w:tcW w:w="1142" w:type="dxa"/>
            <w:shd w:val="clear" w:color="auto" w:fill="D9D9D9" w:themeFill="background1" w:themeFillShade="D9"/>
            <w:hideMark/>
          </w:tcPr>
          <w:p w14:paraId="5B57BC69" w14:textId="77777777" w:rsidR="00A555C8" w:rsidRPr="00473D35" w:rsidRDefault="00A555C8" w:rsidP="00F70B5D">
            <w:pPr>
              <w:rPr>
                <w:rFonts w:ascii="Calibri" w:hAnsi="Calibri"/>
                <w:b/>
                <w:bCs/>
                <w:szCs w:val="20"/>
              </w:rPr>
            </w:pPr>
            <w:r w:rsidRPr="00473D35">
              <w:rPr>
                <w:rFonts w:ascii="Calibri" w:hAnsi="Calibri"/>
                <w:b/>
                <w:bCs/>
                <w:szCs w:val="20"/>
              </w:rPr>
              <w:t>Program Type (NEW, ROB, REA)</w:t>
            </w:r>
          </w:p>
        </w:tc>
        <w:tc>
          <w:tcPr>
            <w:tcW w:w="1530" w:type="dxa"/>
            <w:shd w:val="clear" w:color="auto" w:fill="D9D9D9" w:themeFill="background1" w:themeFillShade="D9"/>
            <w:hideMark/>
          </w:tcPr>
          <w:p w14:paraId="4FE3E282" w14:textId="77777777" w:rsidR="00A555C8" w:rsidRPr="00473D35" w:rsidRDefault="00A555C8" w:rsidP="00F70B5D">
            <w:pPr>
              <w:rPr>
                <w:rFonts w:ascii="Calibri" w:hAnsi="Calibri"/>
                <w:b/>
                <w:bCs/>
                <w:szCs w:val="20"/>
              </w:rPr>
            </w:pPr>
            <w:r w:rsidRPr="00473D35">
              <w:rPr>
                <w:rFonts w:ascii="Calibri" w:hAnsi="Calibri"/>
                <w:b/>
                <w:bCs/>
                <w:szCs w:val="20"/>
              </w:rPr>
              <w:t>Annual Electricity Savings (kWh/unit)</w:t>
            </w:r>
          </w:p>
        </w:tc>
        <w:tc>
          <w:tcPr>
            <w:tcW w:w="1170" w:type="dxa"/>
            <w:shd w:val="clear" w:color="auto" w:fill="D9D9D9" w:themeFill="background1" w:themeFillShade="D9"/>
            <w:hideMark/>
          </w:tcPr>
          <w:p w14:paraId="74757150" w14:textId="77777777" w:rsidR="00A555C8" w:rsidRPr="00473D35" w:rsidRDefault="00A555C8" w:rsidP="00F70B5D">
            <w:pPr>
              <w:rPr>
                <w:rFonts w:ascii="Calibri" w:hAnsi="Calibri"/>
                <w:b/>
                <w:bCs/>
                <w:szCs w:val="20"/>
              </w:rPr>
            </w:pPr>
            <w:r w:rsidRPr="00473D35">
              <w:rPr>
                <w:rFonts w:ascii="Calibri" w:hAnsi="Calibri"/>
                <w:b/>
                <w:bCs/>
                <w:szCs w:val="20"/>
              </w:rPr>
              <w:t>kW Savings (kW/unit)</w:t>
            </w:r>
          </w:p>
        </w:tc>
        <w:tc>
          <w:tcPr>
            <w:tcW w:w="1478" w:type="dxa"/>
            <w:shd w:val="clear" w:color="auto" w:fill="D9D9D9" w:themeFill="background1" w:themeFillShade="D9"/>
            <w:hideMark/>
          </w:tcPr>
          <w:p w14:paraId="5888ECF7" w14:textId="77777777" w:rsidR="00A555C8" w:rsidRPr="00473D35" w:rsidRDefault="00A555C8" w:rsidP="00F70B5D">
            <w:pPr>
              <w:rPr>
                <w:rFonts w:ascii="Calibri" w:hAnsi="Calibri"/>
                <w:b/>
                <w:bCs/>
                <w:szCs w:val="20"/>
              </w:rPr>
            </w:pPr>
            <w:r w:rsidRPr="00473D35">
              <w:rPr>
                <w:rFonts w:ascii="Calibri" w:hAnsi="Calibri"/>
                <w:b/>
                <w:bCs/>
                <w:szCs w:val="20"/>
              </w:rPr>
              <w:t>Therm Savings (Therm/unit)</w:t>
            </w:r>
          </w:p>
        </w:tc>
      </w:tr>
      <w:tr w:rsidR="00A555C8" w:rsidRPr="00473D35" w14:paraId="4A5769FE" w14:textId="77777777" w:rsidTr="00F70B5D">
        <w:trPr>
          <w:trHeight w:val="345"/>
        </w:trPr>
        <w:tc>
          <w:tcPr>
            <w:tcW w:w="2418" w:type="dxa"/>
            <w:noWrap/>
            <w:hideMark/>
          </w:tcPr>
          <w:p w14:paraId="15321505" w14:textId="77777777" w:rsidR="00A555C8" w:rsidRPr="00473D35" w:rsidRDefault="00A555C8" w:rsidP="00F70B5D">
            <w:pPr>
              <w:rPr>
                <w:rFonts w:ascii="Calibri" w:hAnsi="Calibri"/>
                <w:color w:val="000000"/>
                <w:sz w:val="18"/>
                <w:szCs w:val="18"/>
              </w:rPr>
            </w:pPr>
            <w:r w:rsidRPr="00473D35">
              <w:rPr>
                <w:rFonts w:ascii="Calibri" w:hAnsi="Calibri" w:cs="Calibri"/>
                <w:color w:val="000000"/>
                <w:sz w:val="18"/>
                <w:szCs w:val="18"/>
              </w:rPr>
              <w:t>Main Cooler Door Auto Closer</w:t>
            </w:r>
          </w:p>
        </w:tc>
        <w:tc>
          <w:tcPr>
            <w:tcW w:w="893" w:type="dxa"/>
            <w:noWrap/>
            <w:hideMark/>
          </w:tcPr>
          <w:p w14:paraId="3D5D0FA6"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362E1AF0" w14:textId="77777777" w:rsidR="00A555C8" w:rsidRPr="00473D35" w:rsidRDefault="00A555C8" w:rsidP="00F70B5D">
            <w:pPr>
              <w:rPr>
                <w:rFonts w:ascii="Calibri" w:hAnsi="Calibri"/>
                <w:sz w:val="18"/>
                <w:szCs w:val="18"/>
              </w:rPr>
            </w:pPr>
            <w:r w:rsidRPr="00473D35">
              <w:rPr>
                <w:rFonts w:ascii="Calibri" w:hAnsi="Calibri"/>
                <w:sz w:val="18"/>
                <w:szCs w:val="18"/>
              </w:rPr>
              <w:t>1</w:t>
            </w:r>
          </w:p>
        </w:tc>
        <w:tc>
          <w:tcPr>
            <w:tcW w:w="1142" w:type="dxa"/>
            <w:hideMark/>
          </w:tcPr>
          <w:p w14:paraId="21CC358B" w14:textId="77777777" w:rsidR="00A555C8" w:rsidRPr="00473D35" w:rsidRDefault="00A555C8" w:rsidP="00F70B5D">
            <w:pPr>
              <w:rPr>
                <w:rFonts w:ascii="Calibri" w:hAnsi="Calibri"/>
                <w:color w:val="000000"/>
                <w:sz w:val="18"/>
                <w:szCs w:val="18"/>
              </w:rPr>
            </w:pPr>
            <w:r w:rsidRPr="00473D35">
              <w:rPr>
                <w:rFonts w:ascii="Calibri" w:hAnsi="Calibri" w:cs="Calibri"/>
                <w:color w:val="000000"/>
                <w:sz w:val="18"/>
                <w:szCs w:val="18"/>
              </w:rPr>
              <w:t>REA</w:t>
            </w:r>
          </w:p>
        </w:tc>
        <w:tc>
          <w:tcPr>
            <w:tcW w:w="1530" w:type="dxa"/>
            <w:hideMark/>
          </w:tcPr>
          <w:p w14:paraId="322ECC7F" w14:textId="77777777" w:rsidR="00A555C8" w:rsidRPr="00640329" w:rsidRDefault="00A555C8" w:rsidP="00F70B5D">
            <w:pPr>
              <w:rPr>
                <w:color w:val="000000"/>
                <w:sz w:val="18"/>
                <w:szCs w:val="18"/>
              </w:rPr>
            </w:pPr>
            <w:r w:rsidRPr="00640329">
              <w:rPr>
                <w:sz w:val="18"/>
                <w:szCs w:val="18"/>
              </w:rPr>
              <w:t>1416.80</w:t>
            </w:r>
          </w:p>
        </w:tc>
        <w:tc>
          <w:tcPr>
            <w:tcW w:w="1170" w:type="dxa"/>
            <w:hideMark/>
          </w:tcPr>
          <w:p w14:paraId="4867E40D" w14:textId="77777777" w:rsidR="00A555C8" w:rsidRPr="00640329" w:rsidRDefault="00A555C8" w:rsidP="00F70B5D">
            <w:pPr>
              <w:rPr>
                <w:color w:val="000000"/>
                <w:sz w:val="18"/>
                <w:szCs w:val="18"/>
              </w:rPr>
            </w:pPr>
            <w:r w:rsidRPr="00640329">
              <w:rPr>
                <w:sz w:val="18"/>
                <w:szCs w:val="18"/>
              </w:rPr>
              <w:t>0.44</w:t>
            </w:r>
          </w:p>
        </w:tc>
        <w:tc>
          <w:tcPr>
            <w:tcW w:w="1478" w:type="dxa"/>
            <w:hideMark/>
          </w:tcPr>
          <w:p w14:paraId="54A49E3D" w14:textId="77777777" w:rsidR="00A555C8" w:rsidRPr="00640329" w:rsidRDefault="00A555C8" w:rsidP="00F70B5D">
            <w:pPr>
              <w:rPr>
                <w:color w:val="000000"/>
                <w:sz w:val="18"/>
                <w:szCs w:val="18"/>
              </w:rPr>
            </w:pPr>
            <w:r w:rsidRPr="00640329">
              <w:rPr>
                <w:sz w:val="18"/>
                <w:szCs w:val="18"/>
              </w:rPr>
              <w:t>-0.09</w:t>
            </w:r>
          </w:p>
        </w:tc>
      </w:tr>
      <w:tr w:rsidR="00A555C8" w:rsidRPr="00473D35" w14:paraId="4C6B581F" w14:textId="77777777" w:rsidTr="00F70B5D">
        <w:trPr>
          <w:trHeight w:val="345"/>
        </w:trPr>
        <w:tc>
          <w:tcPr>
            <w:tcW w:w="2418" w:type="dxa"/>
            <w:hideMark/>
          </w:tcPr>
          <w:p w14:paraId="168A1B54" w14:textId="77777777" w:rsidR="00A555C8" w:rsidRPr="00473D35" w:rsidRDefault="00A555C8" w:rsidP="00F70B5D">
            <w:pPr>
              <w:rPr>
                <w:rFonts w:ascii="Calibri" w:hAnsi="Calibri"/>
                <w:color w:val="000000"/>
                <w:sz w:val="18"/>
                <w:szCs w:val="18"/>
              </w:rPr>
            </w:pPr>
            <w:r w:rsidRPr="00473D35">
              <w:rPr>
                <w:rFonts w:ascii="Calibri" w:hAnsi="Calibri" w:cs="Calibri"/>
                <w:color w:val="000000"/>
                <w:sz w:val="18"/>
                <w:szCs w:val="18"/>
              </w:rPr>
              <w:t>Main Cooler Door Auto Closer</w:t>
            </w:r>
          </w:p>
        </w:tc>
        <w:tc>
          <w:tcPr>
            <w:tcW w:w="893" w:type="dxa"/>
            <w:noWrap/>
            <w:hideMark/>
          </w:tcPr>
          <w:p w14:paraId="4B472820"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03DB3FD3" w14:textId="77777777" w:rsidR="00A555C8" w:rsidRPr="00473D35" w:rsidRDefault="00A555C8" w:rsidP="00F70B5D">
            <w:pPr>
              <w:rPr>
                <w:rFonts w:ascii="Calibri" w:hAnsi="Calibri"/>
                <w:sz w:val="18"/>
                <w:szCs w:val="18"/>
              </w:rPr>
            </w:pPr>
            <w:r w:rsidRPr="00473D35">
              <w:rPr>
                <w:rFonts w:ascii="Calibri" w:hAnsi="Calibri"/>
                <w:sz w:val="18"/>
                <w:szCs w:val="18"/>
              </w:rPr>
              <w:t>2</w:t>
            </w:r>
          </w:p>
        </w:tc>
        <w:tc>
          <w:tcPr>
            <w:tcW w:w="1142" w:type="dxa"/>
            <w:hideMark/>
          </w:tcPr>
          <w:p w14:paraId="0D2C4039" w14:textId="77777777" w:rsidR="00A555C8" w:rsidRPr="00473D35" w:rsidRDefault="00A555C8" w:rsidP="00F70B5D">
            <w:pPr>
              <w:rPr>
                <w:rFonts w:ascii="Calibri" w:hAnsi="Calibri"/>
                <w:color w:val="000000"/>
                <w:sz w:val="18"/>
                <w:szCs w:val="18"/>
              </w:rPr>
            </w:pPr>
            <w:r w:rsidRPr="00473D35">
              <w:rPr>
                <w:rFonts w:ascii="Calibri" w:hAnsi="Calibri" w:cs="Calibri"/>
                <w:color w:val="000000"/>
                <w:sz w:val="18"/>
                <w:szCs w:val="18"/>
              </w:rPr>
              <w:t>REA</w:t>
            </w:r>
          </w:p>
        </w:tc>
        <w:tc>
          <w:tcPr>
            <w:tcW w:w="1530" w:type="dxa"/>
            <w:hideMark/>
          </w:tcPr>
          <w:p w14:paraId="75A87184" w14:textId="77777777" w:rsidR="00A555C8" w:rsidRPr="00640329" w:rsidRDefault="00A555C8" w:rsidP="00F70B5D">
            <w:pPr>
              <w:rPr>
                <w:color w:val="000000"/>
                <w:sz w:val="18"/>
                <w:szCs w:val="18"/>
              </w:rPr>
            </w:pPr>
            <w:r w:rsidRPr="00640329">
              <w:rPr>
                <w:sz w:val="18"/>
                <w:szCs w:val="18"/>
              </w:rPr>
              <w:t>1798.93</w:t>
            </w:r>
          </w:p>
        </w:tc>
        <w:tc>
          <w:tcPr>
            <w:tcW w:w="1170" w:type="dxa"/>
            <w:hideMark/>
          </w:tcPr>
          <w:p w14:paraId="5A17D89A" w14:textId="77777777" w:rsidR="00A555C8" w:rsidRPr="00640329" w:rsidRDefault="00A555C8" w:rsidP="00F70B5D">
            <w:pPr>
              <w:rPr>
                <w:color w:val="000000"/>
                <w:sz w:val="18"/>
                <w:szCs w:val="18"/>
              </w:rPr>
            </w:pPr>
            <w:r w:rsidRPr="00640329">
              <w:rPr>
                <w:sz w:val="18"/>
                <w:szCs w:val="18"/>
              </w:rPr>
              <w:t>0.64</w:t>
            </w:r>
          </w:p>
        </w:tc>
        <w:tc>
          <w:tcPr>
            <w:tcW w:w="1478" w:type="dxa"/>
            <w:hideMark/>
          </w:tcPr>
          <w:p w14:paraId="5FDD6B54" w14:textId="77777777" w:rsidR="00A555C8" w:rsidRPr="00640329" w:rsidRDefault="00A555C8" w:rsidP="00F70B5D">
            <w:pPr>
              <w:rPr>
                <w:color w:val="000000"/>
                <w:sz w:val="18"/>
                <w:szCs w:val="18"/>
              </w:rPr>
            </w:pPr>
            <w:r w:rsidRPr="00640329">
              <w:rPr>
                <w:sz w:val="18"/>
                <w:szCs w:val="18"/>
              </w:rPr>
              <w:t>-0.61</w:t>
            </w:r>
          </w:p>
        </w:tc>
      </w:tr>
      <w:tr w:rsidR="00A555C8" w:rsidRPr="00473D35" w14:paraId="4D35525F" w14:textId="77777777" w:rsidTr="00F70B5D">
        <w:trPr>
          <w:trHeight w:val="345"/>
        </w:trPr>
        <w:tc>
          <w:tcPr>
            <w:tcW w:w="2418" w:type="dxa"/>
            <w:noWrap/>
            <w:hideMark/>
          </w:tcPr>
          <w:p w14:paraId="4D207899"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71BF6F87"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5826881A" w14:textId="77777777" w:rsidR="00A555C8" w:rsidRPr="00473D35" w:rsidRDefault="00A555C8" w:rsidP="00F70B5D">
            <w:pPr>
              <w:rPr>
                <w:rFonts w:ascii="Calibri" w:hAnsi="Calibri"/>
                <w:sz w:val="18"/>
                <w:szCs w:val="18"/>
              </w:rPr>
            </w:pPr>
            <w:r w:rsidRPr="00473D35">
              <w:rPr>
                <w:rFonts w:ascii="Calibri" w:hAnsi="Calibri"/>
                <w:sz w:val="18"/>
                <w:szCs w:val="18"/>
              </w:rPr>
              <w:t>3</w:t>
            </w:r>
          </w:p>
        </w:tc>
        <w:tc>
          <w:tcPr>
            <w:tcW w:w="1142" w:type="dxa"/>
            <w:hideMark/>
          </w:tcPr>
          <w:p w14:paraId="5940233D"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0C94B42E" w14:textId="77777777" w:rsidR="00A555C8" w:rsidRPr="00640329" w:rsidRDefault="00A555C8" w:rsidP="00F70B5D">
            <w:pPr>
              <w:rPr>
                <w:color w:val="000000"/>
                <w:sz w:val="18"/>
                <w:szCs w:val="18"/>
              </w:rPr>
            </w:pPr>
            <w:r w:rsidRPr="00640329">
              <w:rPr>
                <w:sz w:val="18"/>
                <w:szCs w:val="18"/>
              </w:rPr>
              <w:t>1836.79</w:t>
            </w:r>
          </w:p>
        </w:tc>
        <w:tc>
          <w:tcPr>
            <w:tcW w:w="1170" w:type="dxa"/>
            <w:hideMark/>
          </w:tcPr>
          <w:p w14:paraId="3FD0F418" w14:textId="77777777" w:rsidR="00A555C8" w:rsidRPr="00640329" w:rsidRDefault="00A555C8" w:rsidP="00F70B5D">
            <w:pPr>
              <w:rPr>
                <w:color w:val="000000"/>
                <w:sz w:val="18"/>
                <w:szCs w:val="18"/>
              </w:rPr>
            </w:pPr>
            <w:r w:rsidRPr="00640329">
              <w:rPr>
                <w:sz w:val="18"/>
                <w:szCs w:val="18"/>
              </w:rPr>
              <w:t>0.58</w:t>
            </w:r>
          </w:p>
        </w:tc>
        <w:tc>
          <w:tcPr>
            <w:tcW w:w="1478" w:type="dxa"/>
            <w:hideMark/>
          </w:tcPr>
          <w:p w14:paraId="4E311D13" w14:textId="77777777" w:rsidR="00A555C8" w:rsidRPr="00640329" w:rsidRDefault="00A555C8" w:rsidP="00F70B5D">
            <w:pPr>
              <w:rPr>
                <w:color w:val="000000"/>
                <w:sz w:val="18"/>
                <w:szCs w:val="18"/>
              </w:rPr>
            </w:pPr>
            <w:r w:rsidRPr="00640329">
              <w:rPr>
                <w:sz w:val="18"/>
                <w:szCs w:val="18"/>
              </w:rPr>
              <w:t>0.12</w:t>
            </w:r>
          </w:p>
        </w:tc>
      </w:tr>
      <w:tr w:rsidR="00A555C8" w:rsidRPr="00473D35" w14:paraId="6EDF0E10" w14:textId="77777777" w:rsidTr="00F70B5D">
        <w:trPr>
          <w:trHeight w:val="345"/>
        </w:trPr>
        <w:tc>
          <w:tcPr>
            <w:tcW w:w="2418" w:type="dxa"/>
            <w:noWrap/>
            <w:hideMark/>
          </w:tcPr>
          <w:p w14:paraId="11A5D2A4"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218EA609"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7884738B" w14:textId="77777777" w:rsidR="00A555C8" w:rsidRPr="00473D35" w:rsidRDefault="00A555C8" w:rsidP="00F70B5D">
            <w:pPr>
              <w:rPr>
                <w:rFonts w:ascii="Calibri" w:hAnsi="Calibri"/>
                <w:sz w:val="18"/>
                <w:szCs w:val="18"/>
              </w:rPr>
            </w:pPr>
            <w:r w:rsidRPr="00473D35">
              <w:rPr>
                <w:rFonts w:ascii="Calibri" w:hAnsi="Calibri"/>
                <w:sz w:val="18"/>
                <w:szCs w:val="18"/>
              </w:rPr>
              <w:t>4</w:t>
            </w:r>
          </w:p>
        </w:tc>
        <w:tc>
          <w:tcPr>
            <w:tcW w:w="1142" w:type="dxa"/>
            <w:hideMark/>
          </w:tcPr>
          <w:p w14:paraId="0C519841"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314AB9B9" w14:textId="77777777" w:rsidR="00A555C8" w:rsidRPr="00640329" w:rsidRDefault="00A555C8" w:rsidP="00F70B5D">
            <w:pPr>
              <w:rPr>
                <w:color w:val="000000"/>
                <w:sz w:val="18"/>
                <w:szCs w:val="18"/>
              </w:rPr>
            </w:pPr>
            <w:r w:rsidRPr="00640329">
              <w:rPr>
                <w:sz w:val="18"/>
                <w:szCs w:val="18"/>
              </w:rPr>
              <w:t>1910.31</w:t>
            </w:r>
          </w:p>
        </w:tc>
        <w:tc>
          <w:tcPr>
            <w:tcW w:w="1170" w:type="dxa"/>
            <w:hideMark/>
          </w:tcPr>
          <w:p w14:paraId="1AC3CC52" w14:textId="77777777" w:rsidR="00A555C8" w:rsidRPr="00640329" w:rsidRDefault="00A555C8" w:rsidP="00F70B5D">
            <w:pPr>
              <w:rPr>
                <w:color w:val="000000"/>
                <w:sz w:val="18"/>
                <w:szCs w:val="18"/>
              </w:rPr>
            </w:pPr>
            <w:r w:rsidRPr="00640329">
              <w:rPr>
                <w:sz w:val="18"/>
                <w:szCs w:val="18"/>
              </w:rPr>
              <w:t>0.52</w:t>
            </w:r>
          </w:p>
        </w:tc>
        <w:tc>
          <w:tcPr>
            <w:tcW w:w="1478" w:type="dxa"/>
            <w:hideMark/>
          </w:tcPr>
          <w:p w14:paraId="64821EA8" w14:textId="77777777" w:rsidR="00A555C8" w:rsidRPr="00640329" w:rsidRDefault="00A555C8" w:rsidP="00F70B5D">
            <w:pPr>
              <w:rPr>
                <w:color w:val="000000"/>
                <w:sz w:val="18"/>
                <w:szCs w:val="18"/>
              </w:rPr>
            </w:pPr>
            <w:r w:rsidRPr="00640329">
              <w:rPr>
                <w:sz w:val="18"/>
                <w:szCs w:val="18"/>
              </w:rPr>
              <w:t>-0.12</w:t>
            </w:r>
          </w:p>
        </w:tc>
      </w:tr>
      <w:tr w:rsidR="00A555C8" w:rsidRPr="00473D35" w14:paraId="06DD902C" w14:textId="77777777" w:rsidTr="00F70B5D">
        <w:trPr>
          <w:trHeight w:val="345"/>
        </w:trPr>
        <w:tc>
          <w:tcPr>
            <w:tcW w:w="2418" w:type="dxa"/>
            <w:noWrap/>
            <w:hideMark/>
          </w:tcPr>
          <w:p w14:paraId="7E2B5F64"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60F7689A"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0E74BDBB" w14:textId="77777777" w:rsidR="00A555C8" w:rsidRPr="00473D35" w:rsidRDefault="00A555C8" w:rsidP="00F70B5D">
            <w:pPr>
              <w:rPr>
                <w:rFonts w:ascii="Calibri" w:hAnsi="Calibri"/>
                <w:sz w:val="18"/>
                <w:szCs w:val="18"/>
              </w:rPr>
            </w:pPr>
            <w:r w:rsidRPr="00473D35">
              <w:rPr>
                <w:rFonts w:ascii="Calibri" w:hAnsi="Calibri"/>
                <w:sz w:val="18"/>
                <w:szCs w:val="18"/>
              </w:rPr>
              <w:t>5</w:t>
            </w:r>
          </w:p>
        </w:tc>
        <w:tc>
          <w:tcPr>
            <w:tcW w:w="1142" w:type="dxa"/>
            <w:hideMark/>
          </w:tcPr>
          <w:p w14:paraId="2F9F63FC"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10CB851B" w14:textId="77777777" w:rsidR="00A555C8" w:rsidRPr="00640329" w:rsidRDefault="00A555C8" w:rsidP="00F70B5D">
            <w:pPr>
              <w:rPr>
                <w:color w:val="000000"/>
                <w:sz w:val="18"/>
                <w:szCs w:val="18"/>
              </w:rPr>
            </w:pPr>
            <w:r w:rsidRPr="00640329">
              <w:rPr>
                <w:sz w:val="18"/>
                <w:szCs w:val="18"/>
              </w:rPr>
              <w:t>1725.22</w:t>
            </w:r>
          </w:p>
        </w:tc>
        <w:tc>
          <w:tcPr>
            <w:tcW w:w="1170" w:type="dxa"/>
            <w:hideMark/>
          </w:tcPr>
          <w:p w14:paraId="6ABE0604" w14:textId="77777777" w:rsidR="00A555C8" w:rsidRPr="00640329" w:rsidRDefault="00A555C8" w:rsidP="00F70B5D">
            <w:pPr>
              <w:rPr>
                <w:color w:val="000000"/>
                <w:sz w:val="18"/>
                <w:szCs w:val="18"/>
              </w:rPr>
            </w:pPr>
            <w:r w:rsidRPr="00640329">
              <w:rPr>
                <w:sz w:val="18"/>
                <w:szCs w:val="18"/>
              </w:rPr>
              <w:t>0.31</w:t>
            </w:r>
          </w:p>
        </w:tc>
        <w:tc>
          <w:tcPr>
            <w:tcW w:w="1478" w:type="dxa"/>
            <w:hideMark/>
          </w:tcPr>
          <w:p w14:paraId="16F9C3E9" w14:textId="77777777" w:rsidR="00A555C8" w:rsidRPr="00640329" w:rsidRDefault="00A555C8" w:rsidP="00F70B5D">
            <w:pPr>
              <w:rPr>
                <w:color w:val="000000"/>
                <w:sz w:val="18"/>
                <w:szCs w:val="18"/>
              </w:rPr>
            </w:pPr>
            <w:r w:rsidRPr="00640329">
              <w:rPr>
                <w:sz w:val="18"/>
                <w:szCs w:val="18"/>
              </w:rPr>
              <w:t>-0.10</w:t>
            </w:r>
          </w:p>
        </w:tc>
      </w:tr>
      <w:tr w:rsidR="00A555C8" w:rsidRPr="00473D35" w14:paraId="7EB727BF" w14:textId="77777777" w:rsidTr="00F70B5D">
        <w:trPr>
          <w:trHeight w:val="345"/>
        </w:trPr>
        <w:tc>
          <w:tcPr>
            <w:tcW w:w="2418" w:type="dxa"/>
            <w:noWrap/>
            <w:hideMark/>
          </w:tcPr>
          <w:p w14:paraId="7CF0A93E"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3799B7BE"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1F2AD68E" w14:textId="77777777" w:rsidR="00A555C8" w:rsidRPr="00473D35" w:rsidRDefault="00A555C8" w:rsidP="00F70B5D">
            <w:pPr>
              <w:rPr>
                <w:rFonts w:ascii="Calibri" w:hAnsi="Calibri"/>
                <w:sz w:val="18"/>
                <w:szCs w:val="18"/>
              </w:rPr>
            </w:pPr>
            <w:r w:rsidRPr="00473D35">
              <w:rPr>
                <w:rFonts w:ascii="Calibri" w:hAnsi="Calibri"/>
                <w:sz w:val="18"/>
                <w:szCs w:val="18"/>
              </w:rPr>
              <w:t>6</w:t>
            </w:r>
          </w:p>
        </w:tc>
        <w:tc>
          <w:tcPr>
            <w:tcW w:w="1142" w:type="dxa"/>
            <w:hideMark/>
          </w:tcPr>
          <w:p w14:paraId="4975D9F4"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493753B6" w14:textId="77777777" w:rsidR="00A555C8" w:rsidRPr="00640329" w:rsidRDefault="00A555C8" w:rsidP="00F70B5D">
            <w:pPr>
              <w:rPr>
                <w:color w:val="000000"/>
                <w:sz w:val="18"/>
                <w:szCs w:val="18"/>
              </w:rPr>
            </w:pPr>
            <w:r w:rsidRPr="00640329">
              <w:rPr>
                <w:sz w:val="18"/>
                <w:szCs w:val="18"/>
              </w:rPr>
              <w:t>2327.34</w:t>
            </w:r>
          </w:p>
        </w:tc>
        <w:tc>
          <w:tcPr>
            <w:tcW w:w="1170" w:type="dxa"/>
            <w:hideMark/>
          </w:tcPr>
          <w:p w14:paraId="6A93406F" w14:textId="77777777" w:rsidR="00A555C8" w:rsidRPr="00640329" w:rsidRDefault="00A555C8" w:rsidP="00F70B5D">
            <w:pPr>
              <w:rPr>
                <w:color w:val="000000"/>
                <w:sz w:val="18"/>
                <w:szCs w:val="18"/>
              </w:rPr>
            </w:pPr>
            <w:r w:rsidRPr="00640329">
              <w:rPr>
                <w:sz w:val="18"/>
                <w:szCs w:val="18"/>
              </w:rPr>
              <w:t>0.30</w:t>
            </w:r>
          </w:p>
        </w:tc>
        <w:tc>
          <w:tcPr>
            <w:tcW w:w="1478" w:type="dxa"/>
            <w:hideMark/>
          </w:tcPr>
          <w:p w14:paraId="2E1BE1EE" w14:textId="77777777" w:rsidR="00A555C8" w:rsidRPr="00640329" w:rsidRDefault="00A555C8" w:rsidP="00F70B5D">
            <w:pPr>
              <w:rPr>
                <w:color w:val="000000"/>
                <w:sz w:val="18"/>
                <w:szCs w:val="18"/>
              </w:rPr>
            </w:pPr>
            <w:r w:rsidRPr="00640329">
              <w:rPr>
                <w:sz w:val="18"/>
                <w:szCs w:val="18"/>
              </w:rPr>
              <w:t>-0.98</w:t>
            </w:r>
          </w:p>
        </w:tc>
      </w:tr>
      <w:tr w:rsidR="00A555C8" w:rsidRPr="00473D35" w14:paraId="290C48BA" w14:textId="77777777" w:rsidTr="00F70B5D">
        <w:trPr>
          <w:trHeight w:val="345"/>
        </w:trPr>
        <w:tc>
          <w:tcPr>
            <w:tcW w:w="2418" w:type="dxa"/>
            <w:noWrap/>
            <w:hideMark/>
          </w:tcPr>
          <w:p w14:paraId="537CC4BE"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74949EB0"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0498B4D6" w14:textId="77777777" w:rsidR="00A555C8" w:rsidRPr="00473D35" w:rsidRDefault="00A555C8" w:rsidP="00F70B5D">
            <w:pPr>
              <w:rPr>
                <w:rFonts w:ascii="Calibri" w:hAnsi="Calibri"/>
                <w:sz w:val="18"/>
                <w:szCs w:val="18"/>
              </w:rPr>
            </w:pPr>
            <w:r w:rsidRPr="00473D35">
              <w:rPr>
                <w:rFonts w:ascii="Calibri" w:hAnsi="Calibri"/>
                <w:sz w:val="18"/>
                <w:szCs w:val="18"/>
              </w:rPr>
              <w:t>8</w:t>
            </w:r>
          </w:p>
        </w:tc>
        <w:tc>
          <w:tcPr>
            <w:tcW w:w="1142" w:type="dxa"/>
            <w:hideMark/>
          </w:tcPr>
          <w:p w14:paraId="715E229F"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43632665" w14:textId="77777777" w:rsidR="00A555C8" w:rsidRPr="00640329" w:rsidRDefault="00A555C8" w:rsidP="00F70B5D">
            <w:pPr>
              <w:rPr>
                <w:color w:val="000000"/>
                <w:sz w:val="18"/>
                <w:szCs w:val="18"/>
              </w:rPr>
            </w:pPr>
            <w:r w:rsidRPr="00640329">
              <w:rPr>
                <w:sz w:val="18"/>
                <w:szCs w:val="18"/>
              </w:rPr>
              <w:t>2429.11</w:t>
            </w:r>
          </w:p>
        </w:tc>
        <w:tc>
          <w:tcPr>
            <w:tcW w:w="1170" w:type="dxa"/>
            <w:hideMark/>
          </w:tcPr>
          <w:p w14:paraId="4DC4DB9D" w14:textId="77777777" w:rsidR="00A555C8" w:rsidRPr="00640329" w:rsidRDefault="00A555C8" w:rsidP="00F70B5D">
            <w:pPr>
              <w:rPr>
                <w:color w:val="000000"/>
                <w:sz w:val="18"/>
                <w:szCs w:val="18"/>
              </w:rPr>
            </w:pPr>
            <w:r w:rsidRPr="00640329">
              <w:rPr>
                <w:sz w:val="18"/>
                <w:szCs w:val="18"/>
              </w:rPr>
              <w:t>0.56</w:t>
            </w:r>
          </w:p>
        </w:tc>
        <w:tc>
          <w:tcPr>
            <w:tcW w:w="1478" w:type="dxa"/>
            <w:hideMark/>
          </w:tcPr>
          <w:p w14:paraId="1429F798" w14:textId="77777777" w:rsidR="00A555C8" w:rsidRPr="00640329" w:rsidRDefault="00A555C8" w:rsidP="00F70B5D">
            <w:pPr>
              <w:rPr>
                <w:color w:val="000000"/>
                <w:sz w:val="18"/>
                <w:szCs w:val="18"/>
              </w:rPr>
            </w:pPr>
            <w:r w:rsidRPr="00640329">
              <w:rPr>
                <w:sz w:val="18"/>
                <w:szCs w:val="18"/>
              </w:rPr>
              <w:t>-0.11</w:t>
            </w:r>
          </w:p>
        </w:tc>
      </w:tr>
      <w:tr w:rsidR="00A555C8" w:rsidRPr="00473D35" w14:paraId="7114BA2A" w14:textId="77777777" w:rsidTr="00F70B5D">
        <w:trPr>
          <w:trHeight w:val="345"/>
        </w:trPr>
        <w:tc>
          <w:tcPr>
            <w:tcW w:w="2418" w:type="dxa"/>
            <w:noWrap/>
            <w:hideMark/>
          </w:tcPr>
          <w:p w14:paraId="574EDE7C"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07BA2FDD"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0CCAEB95" w14:textId="77777777" w:rsidR="00A555C8" w:rsidRPr="00473D35" w:rsidRDefault="00A555C8" w:rsidP="00F70B5D">
            <w:pPr>
              <w:rPr>
                <w:rFonts w:ascii="Calibri" w:hAnsi="Calibri"/>
                <w:sz w:val="18"/>
                <w:szCs w:val="18"/>
              </w:rPr>
            </w:pPr>
            <w:r w:rsidRPr="00473D35">
              <w:rPr>
                <w:rFonts w:ascii="Calibri" w:hAnsi="Calibri"/>
                <w:sz w:val="18"/>
                <w:szCs w:val="18"/>
              </w:rPr>
              <w:t>9</w:t>
            </w:r>
          </w:p>
        </w:tc>
        <w:tc>
          <w:tcPr>
            <w:tcW w:w="1142" w:type="dxa"/>
            <w:hideMark/>
          </w:tcPr>
          <w:p w14:paraId="5FBC72BE"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5B8AC507" w14:textId="77777777" w:rsidR="00A555C8" w:rsidRPr="00640329" w:rsidRDefault="00A555C8" w:rsidP="00F70B5D">
            <w:pPr>
              <w:rPr>
                <w:color w:val="000000"/>
                <w:sz w:val="18"/>
                <w:szCs w:val="18"/>
              </w:rPr>
            </w:pPr>
            <w:r w:rsidRPr="00640329">
              <w:rPr>
                <w:sz w:val="18"/>
                <w:szCs w:val="18"/>
              </w:rPr>
              <w:t>2298.13</w:t>
            </w:r>
          </w:p>
        </w:tc>
        <w:tc>
          <w:tcPr>
            <w:tcW w:w="1170" w:type="dxa"/>
            <w:hideMark/>
          </w:tcPr>
          <w:p w14:paraId="75B58DDC" w14:textId="77777777" w:rsidR="00A555C8" w:rsidRPr="00640329" w:rsidRDefault="00A555C8" w:rsidP="00F70B5D">
            <w:pPr>
              <w:rPr>
                <w:color w:val="000000"/>
                <w:sz w:val="18"/>
                <w:szCs w:val="18"/>
              </w:rPr>
            </w:pPr>
            <w:r w:rsidRPr="00640329">
              <w:rPr>
                <w:sz w:val="18"/>
                <w:szCs w:val="18"/>
              </w:rPr>
              <w:t>0.65</w:t>
            </w:r>
          </w:p>
        </w:tc>
        <w:tc>
          <w:tcPr>
            <w:tcW w:w="1478" w:type="dxa"/>
            <w:hideMark/>
          </w:tcPr>
          <w:p w14:paraId="5110157A" w14:textId="77777777" w:rsidR="00A555C8" w:rsidRPr="00640329" w:rsidRDefault="00A555C8" w:rsidP="00F70B5D">
            <w:pPr>
              <w:rPr>
                <w:color w:val="000000"/>
                <w:sz w:val="18"/>
                <w:szCs w:val="18"/>
              </w:rPr>
            </w:pPr>
            <w:r w:rsidRPr="00640329">
              <w:rPr>
                <w:sz w:val="18"/>
                <w:szCs w:val="18"/>
              </w:rPr>
              <w:t>-0.08</w:t>
            </w:r>
          </w:p>
        </w:tc>
      </w:tr>
      <w:tr w:rsidR="00A555C8" w:rsidRPr="00473D35" w14:paraId="6EEF31FB" w14:textId="77777777" w:rsidTr="00F70B5D">
        <w:trPr>
          <w:trHeight w:val="345"/>
        </w:trPr>
        <w:tc>
          <w:tcPr>
            <w:tcW w:w="2418" w:type="dxa"/>
            <w:noWrap/>
            <w:hideMark/>
          </w:tcPr>
          <w:p w14:paraId="4336DD16"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2ACC6A56"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7F183ACF" w14:textId="77777777" w:rsidR="00A555C8" w:rsidRPr="00473D35" w:rsidRDefault="00A555C8" w:rsidP="00F70B5D">
            <w:pPr>
              <w:rPr>
                <w:rFonts w:ascii="Calibri" w:hAnsi="Calibri"/>
                <w:sz w:val="18"/>
                <w:szCs w:val="18"/>
              </w:rPr>
            </w:pPr>
            <w:r w:rsidRPr="00473D35">
              <w:rPr>
                <w:rFonts w:ascii="Calibri" w:hAnsi="Calibri"/>
                <w:sz w:val="18"/>
                <w:szCs w:val="18"/>
              </w:rPr>
              <w:t>10</w:t>
            </w:r>
          </w:p>
        </w:tc>
        <w:tc>
          <w:tcPr>
            <w:tcW w:w="1142" w:type="dxa"/>
            <w:hideMark/>
          </w:tcPr>
          <w:p w14:paraId="5F9501AC"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726E01AB" w14:textId="77777777" w:rsidR="00A555C8" w:rsidRPr="00640329" w:rsidRDefault="00A555C8" w:rsidP="00F70B5D">
            <w:pPr>
              <w:rPr>
                <w:color w:val="000000"/>
                <w:sz w:val="18"/>
                <w:szCs w:val="18"/>
              </w:rPr>
            </w:pPr>
            <w:r w:rsidRPr="00640329">
              <w:rPr>
                <w:sz w:val="18"/>
                <w:szCs w:val="18"/>
              </w:rPr>
              <w:t>2264.48</w:t>
            </w:r>
          </w:p>
        </w:tc>
        <w:tc>
          <w:tcPr>
            <w:tcW w:w="1170" w:type="dxa"/>
            <w:hideMark/>
          </w:tcPr>
          <w:p w14:paraId="0142E354" w14:textId="77777777" w:rsidR="00A555C8" w:rsidRPr="00640329" w:rsidRDefault="00A555C8" w:rsidP="00F70B5D">
            <w:pPr>
              <w:rPr>
                <w:color w:val="000000"/>
                <w:sz w:val="18"/>
                <w:szCs w:val="18"/>
              </w:rPr>
            </w:pPr>
            <w:r w:rsidRPr="00640329">
              <w:rPr>
                <w:sz w:val="18"/>
                <w:szCs w:val="18"/>
              </w:rPr>
              <w:t>1.24</w:t>
            </w:r>
          </w:p>
        </w:tc>
        <w:tc>
          <w:tcPr>
            <w:tcW w:w="1478" w:type="dxa"/>
            <w:hideMark/>
          </w:tcPr>
          <w:p w14:paraId="7E17B7B2" w14:textId="77777777" w:rsidR="00A555C8" w:rsidRPr="00640329" w:rsidRDefault="00A555C8" w:rsidP="00F70B5D">
            <w:pPr>
              <w:rPr>
                <w:color w:val="000000"/>
                <w:sz w:val="18"/>
                <w:szCs w:val="18"/>
              </w:rPr>
            </w:pPr>
            <w:r w:rsidRPr="00640329">
              <w:rPr>
                <w:sz w:val="18"/>
                <w:szCs w:val="18"/>
              </w:rPr>
              <w:t>-0.07</w:t>
            </w:r>
          </w:p>
        </w:tc>
      </w:tr>
      <w:tr w:rsidR="00A555C8" w:rsidRPr="00473D35" w14:paraId="35C41C36" w14:textId="77777777" w:rsidTr="00F70B5D">
        <w:trPr>
          <w:trHeight w:val="345"/>
        </w:trPr>
        <w:tc>
          <w:tcPr>
            <w:tcW w:w="2418" w:type="dxa"/>
            <w:noWrap/>
            <w:hideMark/>
          </w:tcPr>
          <w:p w14:paraId="695D5B66"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3D884394"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2F955158" w14:textId="77777777" w:rsidR="00A555C8" w:rsidRPr="00473D35" w:rsidRDefault="00A555C8" w:rsidP="00F70B5D">
            <w:pPr>
              <w:rPr>
                <w:rFonts w:ascii="Calibri" w:hAnsi="Calibri"/>
                <w:sz w:val="18"/>
                <w:szCs w:val="18"/>
              </w:rPr>
            </w:pPr>
            <w:r w:rsidRPr="00473D35">
              <w:rPr>
                <w:rFonts w:ascii="Calibri" w:hAnsi="Calibri"/>
                <w:sz w:val="18"/>
                <w:szCs w:val="18"/>
              </w:rPr>
              <w:t>11</w:t>
            </w:r>
          </w:p>
        </w:tc>
        <w:tc>
          <w:tcPr>
            <w:tcW w:w="1142" w:type="dxa"/>
            <w:hideMark/>
          </w:tcPr>
          <w:p w14:paraId="0E5E68E0"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56EA0CED" w14:textId="77777777" w:rsidR="00A555C8" w:rsidRPr="00640329" w:rsidRDefault="00A555C8" w:rsidP="00F70B5D">
            <w:pPr>
              <w:rPr>
                <w:color w:val="000000"/>
                <w:sz w:val="18"/>
                <w:szCs w:val="18"/>
              </w:rPr>
            </w:pPr>
            <w:r w:rsidRPr="00640329">
              <w:rPr>
                <w:sz w:val="18"/>
                <w:szCs w:val="18"/>
              </w:rPr>
              <w:t>2110.15</w:t>
            </w:r>
          </w:p>
        </w:tc>
        <w:tc>
          <w:tcPr>
            <w:tcW w:w="1170" w:type="dxa"/>
            <w:hideMark/>
          </w:tcPr>
          <w:p w14:paraId="6BFEB8BC" w14:textId="77777777" w:rsidR="00A555C8" w:rsidRPr="00640329" w:rsidRDefault="00A555C8" w:rsidP="00F70B5D">
            <w:pPr>
              <w:rPr>
                <w:color w:val="000000"/>
                <w:sz w:val="18"/>
                <w:szCs w:val="18"/>
              </w:rPr>
            </w:pPr>
            <w:r w:rsidRPr="00640329">
              <w:rPr>
                <w:sz w:val="18"/>
                <w:szCs w:val="18"/>
              </w:rPr>
              <w:t>0.79</w:t>
            </w:r>
          </w:p>
        </w:tc>
        <w:tc>
          <w:tcPr>
            <w:tcW w:w="1478" w:type="dxa"/>
            <w:hideMark/>
          </w:tcPr>
          <w:p w14:paraId="2601FFEE" w14:textId="77777777" w:rsidR="00A555C8" w:rsidRPr="00640329" w:rsidRDefault="00A555C8" w:rsidP="00F70B5D">
            <w:pPr>
              <w:rPr>
                <w:color w:val="000000"/>
                <w:sz w:val="18"/>
                <w:szCs w:val="18"/>
              </w:rPr>
            </w:pPr>
            <w:r w:rsidRPr="00640329">
              <w:rPr>
                <w:sz w:val="18"/>
                <w:szCs w:val="18"/>
              </w:rPr>
              <w:t>-0.13</w:t>
            </w:r>
          </w:p>
        </w:tc>
      </w:tr>
      <w:tr w:rsidR="00A555C8" w:rsidRPr="00473D35" w14:paraId="26A099C6" w14:textId="77777777" w:rsidTr="00F70B5D">
        <w:trPr>
          <w:trHeight w:val="345"/>
        </w:trPr>
        <w:tc>
          <w:tcPr>
            <w:tcW w:w="2418" w:type="dxa"/>
            <w:noWrap/>
            <w:hideMark/>
          </w:tcPr>
          <w:p w14:paraId="3F7B19C9"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70990983"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3A0ECA18" w14:textId="77777777" w:rsidR="00A555C8" w:rsidRPr="00473D35" w:rsidRDefault="00A555C8" w:rsidP="00F70B5D">
            <w:pPr>
              <w:rPr>
                <w:rFonts w:ascii="Calibri" w:hAnsi="Calibri"/>
                <w:sz w:val="18"/>
                <w:szCs w:val="18"/>
              </w:rPr>
            </w:pPr>
            <w:r w:rsidRPr="00473D35">
              <w:rPr>
                <w:rFonts w:ascii="Calibri" w:hAnsi="Calibri"/>
                <w:sz w:val="18"/>
                <w:szCs w:val="18"/>
              </w:rPr>
              <w:t>12</w:t>
            </w:r>
          </w:p>
        </w:tc>
        <w:tc>
          <w:tcPr>
            <w:tcW w:w="1142" w:type="dxa"/>
            <w:hideMark/>
          </w:tcPr>
          <w:p w14:paraId="646BDCF3"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19083524" w14:textId="77777777" w:rsidR="00A555C8" w:rsidRPr="00640329" w:rsidRDefault="00A555C8" w:rsidP="00F70B5D">
            <w:pPr>
              <w:rPr>
                <w:color w:val="000000"/>
                <w:sz w:val="18"/>
                <w:szCs w:val="18"/>
              </w:rPr>
            </w:pPr>
            <w:r w:rsidRPr="00640329">
              <w:rPr>
                <w:sz w:val="18"/>
                <w:szCs w:val="18"/>
              </w:rPr>
              <w:t>2074.98</w:t>
            </w:r>
          </w:p>
        </w:tc>
        <w:tc>
          <w:tcPr>
            <w:tcW w:w="1170" w:type="dxa"/>
            <w:hideMark/>
          </w:tcPr>
          <w:p w14:paraId="6AEB57E7" w14:textId="77777777" w:rsidR="00A555C8" w:rsidRPr="00640329" w:rsidRDefault="00A555C8" w:rsidP="00F70B5D">
            <w:pPr>
              <w:rPr>
                <w:color w:val="000000"/>
                <w:sz w:val="18"/>
                <w:szCs w:val="18"/>
              </w:rPr>
            </w:pPr>
            <w:r w:rsidRPr="00640329">
              <w:rPr>
                <w:sz w:val="18"/>
                <w:szCs w:val="18"/>
              </w:rPr>
              <w:t>0.46</w:t>
            </w:r>
          </w:p>
        </w:tc>
        <w:tc>
          <w:tcPr>
            <w:tcW w:w="1478" w:type="dxa"/>
            <w:hideMark/>
          </w:tcPr>
          <w:p w14:paraId="6198311A" w14:textId="77777777" w:rsidR="00A555C8" w:rsidRPr="00640329" w:rsidRDefault="00A555C8" w:rsidP="00F70B5D">
            <w:pPr>
              <w:rPr>
                <w:color w:val="000000"/>
                <w:sz w:val="18"/>
                <w:szCs w:val="18"/>
              </w:rPr>
            </w:pPr>
            <w:r w:rsidRPr="00640329">
              <w:rPr>
                <w:sz w:val="18"/>
                <w:szCs w:val="18"/>
              </w:rPr>
              <w:t>-0.60</w:t>
            </w:r>
          </w:p>
        </w:tc>
      </w:tr>
      <w:tr w:rsidR="00A555C8" w:rsidRPr="00473D35" w14:paraId="23BFD6E5" w14:textId="77777777" w:rsidTr="00F70B5D">
        <w:trPr>
          <w:trHeight w:val="345"/>
        </w:trPr>
        <w:tc>
          <w:tcPr>
            <w:tcW w:w="2418" w:type="dxa"/>
            <w:noWrap/>
            <w:hideMark/>
          </w:tcPr>
          <w:p w14:paraId="7A3806E9"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526E0B82"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62BC6599" w14:textId="77777777" w:rsidR="00A555C8" w:rsidRPr="00473D35" w:rsidRDefault="00A555C8" w:rsidP="00F70B5D">
            <w:pPr>
              <w:rPr>
                <w:rFonts w:ascii="Calibri" w:hAnsi="Calibri"/>
                <w:sz w:val="18"/>
                <w:szCs w:val="18"/>
              </w:rPr>
            </w:pPr>
            <w:r w:rsidRPr="00473D35">
              <w:rPr>
                <w:rFonts w:ascii="Calibri" w:hAnsi="Calibri"/>
                <w:sz w:val="18"/>
                <w:szCs w:val="18"/>
              </w:rPr>
              <w:t>13</w:t>
            </w:r>
          </w:p>
        </w:tc>
        <w:tc>
          <w:tcPr>
            <w:tcW w:w="1142" w:type="dxa"/>
            <w:hideMark/>
          </w:tcPr>
          <w:p w14:paraId="70928395"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3FCEE5A3" w14:textId="77777777" w:rsidR="00A555C8" w:rsidRPr="00640329" w:rsidRDefault="00A555C8" w:rsidP="00F70B5D">
            <w:pPr>
              <w:rPr>
                <w:color w:val="000000"/>
                <w:sz w:val="18"/>
                <w:szCs w:val="18"/>
              </w:rPr>
            </w:pPr>
            <w:r w:rsidRPr="00640329">
              <w:rPr>
                <w:sz w:val="18"/>
                <w:szCs w:val="18"/>
              </w:rPr>
              <w:t>2342.68</w:t>
            </w:r>
          </w:p>
        </w:tc>
        <w:tc>
          <w:tcPr>
            <w:tcW w:w="1170" w:type="dxa"/>
            <w:hideMark/>
          </w:tcPr>
          <w:p w14:paraId="7F4C7773" w14:textId="77777777" w:rsidR="00A555C8" w:rsidRPr="00640329" w:rsidRDefault="00A555C8" w:rsidP="00F70B5D">
            <w:pPr>
              <w:rPr>
                <w:color w:val="000000"/>
                <w:sz w:val="18"/>
                <w:szCs w:val="18"/>
              </w:rPr>
            </w:pPr>
            <w:r w:rsidRPr="00640329">
              <w:rPr>
                <w:sz w:val="18"/>
                <w:szCs w:val="18"/>
              </w:rPr>
              <w:t>0.79</w:t>
            </w:r>
          </w:p>
        </w:tc>
        <w:tc>
          <w:tcPr>
            <w:tcW w:w="1478" w:type="dxa"/>
            <w:hideMark/>
          </w:tcPr>
          <w:p w14:paraId="338F83CB" w14:textId="77777777" w:rsidR="00A555C8" w:rsidRPr="00640329" w:rsidRDefault="00A555C8" w:rsidP="00F70B5D">
            <w:pPr>
              <w:rPr>
                <w:color w:val="000000"/>
                <w:sz w:val="18"/>
                <w:szCs w:val="18"/>
              </w:rPr>
            </w:pPr>
            <w:r w:rsidRPr="00640329">
              <w:rPr>
                <w:sz w:val="18"/>
                <w:szCs w:val="18"/>
              </w:rPr>
              <w:t>-0.06</w:t>
            </w:r>
          </w:p>
        </w:tc>
      </w:tr>
      <w:tr w:rsidR="00A555C8" w:rsidRPr="00473D35" w14:paraId="46F1A9E8" w14:textId="77777777" w:rsidTr="00F70B5D">
        <w:trPr>
          <w:trHeight w:val="345"/>
        </w:trPr>
        <w:tc>
          <w:tcPr>
            <w:tcW w:w="2418" w:type="dxa"/>
            <w:noWrap/>
            <w:hideMark/>
          </w:tcPr>
          <w:p w14:paraId="11A3C1FF"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52560CF5"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4A3BEB1F" w14:textId="77777777" w:rsidR="00A555C8" w:rsidRPr="00473D35" w:rsidRDefault="00A555C8" w:rsidP="00F70B5D">
            <w:pPr>
              <w:rPr>
                <w:rFonts w:ascii="Calibri" w:hAnsi="Calibri"/>
                <w:sz w:val="18"/>
                <w:szCs w:val="18"/>
              </w:rPr>
            </w:pPr>
            <w:r w:rsidRPr="00473D35">
              <w:rPr>
                <w:rFonts w:ascii="Calibri" w:hAnsi="Calibri"/>
                <w:sz w:val="18"/>
                <w:szCs w:val="18"/>
              </w:rPr>
              <w:t>14</w:t>
            </w:r>
          </w:p>
        </w:tc>
        <w:tc>
          <w:tcPr>
            <w:tcW w:w="1142" w:type="dxa"/>
            <w:hideMark/>
          </w:tcPr>
          <w:p w14:paraId="77B7CF1D"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619176FB" w14:textId="77777777" w:rsidR="00A555C8" w:rsidRPr="00640329" w:rsidRDefault="00A555C8" w:rsidP="00F70B5D">
            <w:pPr>
              <w:rPr>
                <w:color w:val="000000"/>
                <w:sz w:val="18"/>
                <w:szCs w:val="18"/>
              </w:rPr>
            </w:pPr>
            <w:r w:rsidRPr="00640329">
              <w:rPr>
                <w:sz w:val="18"/>
                <w:szCs w:val="18"/>
              </w:rPr>
              <w:t>1813.65</w:t>
            </w:r>
          </w:p>
        </w:tc>
        <w:tc>
          <w:tcPr>
            <w:tcW w:w="1170" w:type="dxa"/>
            <w:hideMark/>
          </w:tcPr>
          <w:p w14:paraId="248E674F" w14:textId="77777777" w:rsidR="00A555C8" w:rsidRPr="00640329" w:rsidRDefault="00A555C8" w:rsidP="00F70B5D">
            <w:pPr>
              <w:rPr>
                <w:color w:val="000000"/>
                <w:sz w:val="18"/>
                <w:szCs w:val="18"/>
              </w:rPr>
            </w:pPr>
            <w:r w:rsidRPr="00640329">
              <w:rPr>
                <w:sz w:val="18"/>
                <w:szCs w:val="18"/>
              </w:rPr>
              <w:t>1.22</w:t>
            </w:r>
          </w:p>
        </w:tc>
        <w:tc>
          <w:tcPr>
            <w:tcW w:w="1478" w:type="dxa"/>
            <w:hideMark/>
          </w:tcPr>
          <w:p w14:paraId="061DF94D" w14:textId="77777777" w:rsidR="00A555C8" w:rsidRPr="00640329" w:rsidRDefault="00A555C8" w:rsidP="00F70B5D">
            <w:pPr>
              <w:rPr>
                <w:color w:val="000000"/>
                <w:sz w:val="18"/>
                <w:szCs w:val="18"/>
              </w:rPr>
            </w:pPr>
            <w:r w:rsidRPr="00640329">
              <w:rPr>
                <w:sz w:val="18"/>
                <w:szCs w:val="18"/>
              </w:rPr>
              <w:t>-0.05</w:t>
            </w:r>
          </w:p>
        </w:tc>
      </w:tr>
      <w:tr w:rsidR="00A555C8" w:rsidRPr="00473D35" w14:paraId="1839B1CC" w14:textId="77777777" w:rsidTr="00F70B5D">
        <w:trPr>
          <w:trHeight w:val="345"/>
        </w:trPr>
        <w:tc>
          <w:tcPr>
            <w:tcW w:w="2418" w:type="dxa"/>
            <w:noWrap/>
            <w:hideMark/>
          </w:tcPr>
          <w:p w14:paraId="40100631"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41CA68A2"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0D1CD8BC" w14:textId="77777777" w:rsidR="00A555C8" w:rsidRPr="00473D35" w:rsidRDefault="00A555C8" w:rsidP="00F70B5D">
            <w:pPr>
              <w:rPr>
                <w:rFonts w:ascii="Calibri" w:hAnsi="Calibri"/>
                <w:sz w:val="18"/>
                <w:szCs w:val="18"/>
              </w:rPr>
            </w:pPr>
            <w:r w:rsidRPr="00473D35">
              <w:rPr>
                <w:rFonts w:ascii="Calibri" w:hAnsi="Calibri"/>
                <w:sz w:val="18"/>
                <w:szCs w:val="18"/>
              </w:rPr>
              <w:t>15</w:t>
            </w:r>
          </w:p>
        </w:tc>
        <w:tc>
          <w:tcPr>
            <w:tcW w:w="1142" w:type="dxa"/>
            <w:hideMark/>
          </w:tcPr>
          <w:p w14:paraId="26B35B85"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49CAD223" w14:textId="77777777" w:rsidR="00A555C8" w:rsidRPr="00640329" w:rsidRDefault="00A555C8" w:rsidP="00F70B5D">
            <w:pPr>
              <w:rPr>
                <w:color w:val="000000"/>
                <w:sz w:val="18"/>
                <w:szCs w:val="18"/>
              </w:rPr>
            </w:pPr>
            <w:r w:rsidRPr="00640329">
              <w:rPr>
                <w:sz w:val="18"/>
                <w:szCs w:val="18"/>
              </w:rPr>
              <w:t>2356.39</w:t>
            </w:r>
          </w:p>
        </w:tc>
        <w:tc>
          <w:tcPr>
            <w:tcW w:w="1170" w:type="dxa"/>
            <w:hideMark/>
          </w:tcPr>
          <w:p w14:paraId="04EC53DF" w14:textId="77777777" w:rsidR="00A555C8" w:rsidRPr="00640329" w:rsidRDefault="00A555C8" w:rsidP="00F70B5D">
            <w:pPr>
              <w:rPr>
                <w:color w:val="000000"/>
                <w:sz w:val="18"/>
                <w:szCs w:val="18"/>
              </w:rPr>
            </w:pPr>
            <w:r w:rsidRPr="00640329">
              <w:rPr>
                <w:sz w:val="18"/>
                <w:szCs w:val="18"/>
              </w:rPr>
              <w:t>0.37</w:t>
            </w:r>
          </w:p>
        </w:tc>
        <w:tc>
          <w:tcPr>
            <w:tcW w:w="1478" w:type="dxa"/>
            <w:hideMark/>
          </w:tcPr>
          <w:p w14:paraId="795A4C9A" w14:textId="77777777" w:rsidR="00A555C8" w:rsidRPr="00640329" w:rsidRDefault="00A555C8" w:rsidP="00F70B5D">
            <w:pPr>
              <w:rPr>
                <w:color w:val="000000"/>
                <w:sz w:val="18"/>
                <w:szCs w:val="18"/>
              </w:rPr>
            </w:pPr>
            <w:r w:rsidRPr="00640329">
              <w:rPr>
                <w:sz w:val="18"/>
                <w:szCs w:val="18"/>
              </w:rPr>
              <w:t>-0.05</w:t>
            </w:r>
          </w:p>
        </w:tc>
      </w:tr>
      <w:tr w:rsidR="00A555C8" w:rsidRPr="00473D35" w14:paraId="113408CD" w14:textId="77777777" w:rsidTr="00F70B5D">
        <w:trPr>
          <w:trHeight w:val="345"/>
        </w:trPr>
        <w:tc>
          <w:tcPr>
            <w:tcW w:w="2418" w:type="dxa"/>
            <w:noWrap/>
            <w:hideMark/>
          </w:tcPr>
          <w:p w14:paraId="7866B0B4"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Main Cooler Door Auto Closer</w:t>
            </w:r>
          </w:p>
        </w:tc>
        <w:tc>
          <w:tcPr>
            <w:tcW w:w="893" w:type="dxa"/>
            <w:noWrap/>
            <w:hideMark/>
          </w:tcPr>
          <w:p w14:paraId="1695E22E" w14:textId="77777777" w:rsidR="00A555C8" w:rsidRPr="00473D35" w:rsidRDefault="00A555C8" w:rsidP="00F70B5D">
            <w:pPr>
              <w:rPr>
                <w:rFonts w:ascii="Calibri" w:hAnsi="Calibri"/>
                <w:sz w:val="18"/>
                <w:szCs w:val="18"/>
              </w:rPr>
            </w:pPr>
            <w:r w:rsidRPr="00473D35">
              <w:rPr>
                <w:rFonts w:ascii="Calibri" w:hAnsi="Calibri"/>
                <w:sz w:val="18"/>
                <w:szCs w:val="18"/>
              </w:rPr>
              <w:t>Grocery</w:t>
            </w:r>
          </w:p>
        </w:tc>
        <w:tc>
          <w:tcPr>
            <w:tcW w:w="852" w:type="dxa"/>
            <w:hideMark/>
          </w:tcPr>
          <w:p w14:paraId="0F12AAB2" w14:textId="77777777" w:rsidR="00A555C8" w:rsidRPr="00473D35" w:rsidRDefault="00A555C8" w:rsidP="00F70B5D">
            <w:pPr>
              <w:rPr>
                <w:rFonts w:ascii="Calibri" w:hAnsi="Calibri"/>
                <w:sz w:val="18"/>
                <w:szCs w:val="18"/>
              </w:rPr>
            </w:pPr>
            <w:r w:rsidRPr="00473D35">
              <w:rPr>
                <w:rFonts w:ascii="Calibri" w:hAnsi="Calibri"/>
                <w:sz w:val="18"/>
                <w:szCs w:val="18"/>
              </w:rPr>
              <w:t>16</w:t>
            </w:r>
          </w:p>
        </w:tc>
        <w:tc>
          <w:tcPr>
            <w:tcW w:w="1142" w:type="dxa"/>
            <w:hideMark/>
          </w:tcPr>
          <w:p w14:paraId="5A2B3A0A" w14:textId="77777777" w:rsidR="00A555C8" w:rsidRPr="00473D35" w:rsidRDefault="00A555C8" w:rsidP="00F70B5D">
            <w:pPr>
              <w:rPr>
                <w:rFonts w:ascii="Calibri" w:hAnsi="Calibri"/>
                <w:color w:val="000000"/>
                <w:sz w:val="18"/>
                <w:szCs w:val="18"/>
              </w:rPr>
            </w:pPr>
            <w:r w:rsidRPr="00473D35">
              <w:rPr>
                <w:rFonts w:ascii="Calibri" w:hAnsi="Calibri"/>
                <w:color w:val="000000"/>
                <w:sz w:val="18"/>
                <w:szCs w:val="18"/>
              </w:rPr>
              <w:t>REA</w:t>
            </w:r>
          </w:p>
        </w:tc>
        <w:tc>
          <w:tcPr>
            <w:tcW w:w="1530" w:type="dxa"/>
            <w:hideMark/>
          </w:tcPr>
          <w:p w14:paraId="475E877F" w14:textId="77777777" w:rsidR="00A555C8" w:rsidRPr="00640329" w:rsidRDefault="00A555C8" w:rsidP="00F70B5D">
            <w:pPr>
              <w:rPr>
                <w:color w:val="000000"/>
                <w:sz w:val="18"/>
                <w:szCs w:val="18"/>
              </w:rPr>
            </w:pPr>
            <w:r w:rsidRPr="00640329">
              <w:rPr>
                <w:sz w:val="18"/>
                <w:szCs w:val="18"/>
              </w:rPr>
              <w:t>899.12</w:t>
            </w:r>
          </w:p>
        </w:tc>
        <w:tc>
          <w:tcPr>
            <w:tcW w:w="1170" w:type="dxa"/>
            <w:hideMark/>
          </w:tcPr>
          <w:p w14:paraId="1080E244" w14:textId="77777777" w:rsidR="00A555C8" w:rsidRPr="00640329" w:rsidRDefault="00A555C8" w:rsidP="00F70B5D">
            <w:pPr>
              <w:rPr>
                <w:color w:val="000000"/>
                <w:sz w:val="18"/>
                <w:szCs w:val="18"/>
              </w:rPr>
            </w:pPr>
            <w:r w:rsidRPr="00640329">
              <w:rPr>
                <w:sz w:val="18"/>
                <w:szCs w:val="18"/>
              </w:rPr>
              <w:t>0.46</w:t>
            </w:r>
          </w:p>
        </w:tc>
        <w:tc>
          <w:tcPr>
            <w:tcW w:w="1478" w:type="dxa"/>
            <w:hideMark/>
          </w:tcPr>
          <w:p w14:paraId="3B74F6FD" w14:textId="77777777" w:rsidR="00A555C8" w:rsidRPr="00640329" w:rsidRDefault="00A555C8" w:rsidP="00F70B5D">
            <w:pPr>
              <w:rPr>
                <w:color w:val="000000"/>
                <w:sz w:val="18"/>
                <w:szCs w:val="18"/>
              </w:rPr>
            </w:pPr>
            <w:r w:rsidRPr="00640329">
              <w:rPr>
                <w:sz w:val="18"/>
                <w:szCs w:val="18"/>
              </w:rPr>
              <w:t>-0.03</w:t>
            </w:r>
          </w:p>
        </w:tc>
      </w:tr>
    </w:tbl>
    <w:p w14:paraId="6C7EC920" w14:textId="49C926A2" w:rsidR="00E16609" w:rsidRPr="00500C4E" w:rsidRDefault="00E16609" w:rsidP="00E16609">
      <w:pPr>
        <w:pStyle w:val="Heading1"/>
        <w:keepNext w:val="0"/>
        <w:rPr>
          <w:rFonts w:cstheme="minorHAnsi"/>
        </w:rPr>
      </w:pPr>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7365CED1"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w:t>
      </w:r>
      <w:r w:rsidR="009729D2">
        <w:rPr>
          <w:rFonts w:cstheme="minorHAnsi"/>
          <w:szCs w:val="22"/>
        </w:rPr>
        <w:t>is</w:t>
      </w:r>
      <w:r w:rsidR="000173BF" w:rsidRPr="00500C4E">
        <w:rPr>
          <w:rFonts w:cstheme="minorHAnsi"/>
          <w:szCs w:val="22"/>
        </w:rPr>
        <w:t xml:space="preserve"> measure</w:t>
      </w:r>
      <w:r w:rsidR="009729D2">
        <w:rPr>
          <w:rFonts w:cstheme="minorHAnsi"/>
          <w:szCs w:val="22"/>
        </w:rPr>
        <w:t xml:space="preserve"> </w:t>
      </w:r>
      <w:r w:rsidR="000173BF" w:rsidRPr="00500C4E">
        <w:rPr>
          <w:rFonts w:cstheme="minorHAnsi"/>
          <w:szCs w:val="22"/>
        </w:rPr>
        <w:t>are</w:t>
      </w:r>
      <w:r w:rsidR="00E16609" w:rsidRPr="00500C4E">
        <w:rPr>
          <w:rFonts w:cstheme="minorHAnsi"/>
          <w:szCs w:val="22"/>
        </w:rPr>
        <w:t xml:space="preserve"> </w:t>
      </w:r>
      <w:r w:rsidR="000173BF" w:rsidRPr="00500C4E">
        <w:rPr>
          <w:rFonts w:cstheme="minorHAnsi"/>
          <w:szCs w:val="22"/>
        </w:rPr>
        <w:t xml:space="preserve">listed in </w:t>
      </w:r>
      <w:r w:rsidR="00B833AE">
        <w:rPr>
          <w:rFonts w:cstheme="minorHAnsi"/>
          <w:szCs w:val="22"/>
        </w:rPr>
        <w:t>the</w:t>
      </w:r>
      <w:r w:rsidR="00331DCE">
        <w:rPr>
          <w:rFonts w:cstheme="minorHAnsi"/>
          <w:szCs w:val="22"/>
        </w:rPr>
        <w:t xml:space="preserve"> </w:t>
      </w:r>
      <w:r w:rsidR="00676C70">
        <w:rPr>
          <w:rFonts w:cstheme="minorHAnsi"/>
          <w:szCs w:val="22"/>
        </w:rPr>
        <w:t>t</w:t>
      </w:r>
      <w:r w:rsidR="00331DCE">
        <w:rPr>
          <w:rFonts w:cstheme="minorHAnsi"/>
          <w:szCs w:val="22"/>
        </w:rPr>
        <w:t>able below.</w:t>
      </w:r>
      <w:r w:rsidR="00B833AE">
        <w:rPr>
          <w:rFonts w:cstheme="minorHAnsi"/>
          <w:szCs w:val="22"/>
        </w:rPr>
        <w:t xml:space="preserve"> </w:t>
      </w:r>
    </w:p>
    <w:p w14:paraId="09EFF8A0" w14:textId="77777777" w:rsidR="00DE6843" w:rsidRPr="00500C4E" w:rsidRDefault="00DE6843" w:rsidP="00E16609">
      <w:pPr>
        <w:rPr>
          <w:rFonts w:cstheme="minorHAnsi"/>
          <w:szCs w:val="22"/>
        </w:rPr>
      </w:pPr>
    </w:p>
    <w:p w14:paraId="4E5AEDD2" w14:textId="6DCD15D2" w:rsidR="00E16609" w:rsidRPr="00500C4E" w:rsidRDefault="002A3D26" w:rsidP="00DA5082">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B64DD9" w:rsidRPr="00500C4E" w14:paraId="3D341893" w14:textId="77777777" w:rsidTr="00920905">
        <w:tc>
          <w:tcPr>
            <w:tcW w:w="1686" w:type="pct"/>
          </w:tcPr>
          <w:p w14:paraId="4FA2FF6D" w14:textId="44101CEC" w:rsidR="00B64DD9" w:rsidRPr="00920905" w:rsidRDefault="00B64DD9" w:rsidP="00B64DD9">
            <w:pPr>
              <w:rPr>
                <w:rFonts w:cstheme="minorHAnsi"/>
                <w:color w:val="FF0000"/>
                <w:szCs w:val="20"/>
              </w:rPr>
            </w:pPr>
            <w:r w:rsidRPr="00BE62DA">
              <w:rPr>
                <w:rFonts w:ascii="Calibri" w:hAnsi="Calibri" w:cs="Calibri"/>
                <w:szCs w:val="20"/>
              </w:rPr>
              <w:t>Education - Primary School</w:t>
            </w:r>
          </w:p>
        </w:tc>
        <w:tc>
          <w:tcPr>
            <w:tcW w:w="1779" w:type="pct"/>
          </w:tcPr>
          <w:p w14:paraId="3B2DCD1E" w14:textId="57EDB52C" w:rsidR="00B64DD9" w:rsidRPr="00920905" w:rsidRDefault="00B64DD9" w:rsidP="00B64DD9">
            <w:pPr>
              <w:rPr>
                <w:rFonts w:cstheme="minorHAnsi"/>
                <w:color w:val="FF0000"/>
                <w:szCs w:val="20"/>
              </w:rPr>
            </w:pPr>
            <w:r>
              <w:rPr>
                <w:rFonts w:ascii="Calibri" w:hAnsi="Calibri" w:cs="Calibri"/>
                <w:szCs w:val="20"/>
              </w:rPr>
              <w:t>Refrigeration</w:t>
            </w:r>
          </w:p>
        </w:tc>
        <w:tc>
          <w:tcPr>
            <w:tcW w:w="1535" w:type="pct"/>
          </w:tcPr>
          <w:p w14:paraId="6722CD8A" w14:textId="512AACF8" w:rsidR="00B64DD9" w:rsidRPr="00920905" w:rsidRDefault="00B64DD9" w:rsidP="00B64DD9">
            <w:pPr>
              <w:rPr>
                <w:rFonts w:cstheme="minorHAnsi"/>
                <w:color w:val="FF0000"/>
                <w:szCs w:val="20"/>
              </w:rPr>
            </w:pPr>
            <w:r w:rsidRPr="00BE62DA">
              <w:rPr>
                <w:rFonts w:ascii="Calibri" w:hAnsi="Calibri" w:cs="Calibri"/>
                <w:szCs w:val="20"/>
              </w:rPr>
              <w:t>NON_RES</w:t>
            </w:r>
          </w:p>
        </w:tc>
      </w:tr>
      <w:tr w:rsidR="00B64DD9" w:rsidRPr="00500C4E" w14:paraId="1FB64A38" w14:textId="77777777" w:rsidTr="00920905">
        <w:tc>
          <w:tcPr>
            <w:tcW w:w="1686" w:type="pct"/>
          </w:tcPr>
          <w:p w14:paraId="129F9965" w14:textId="5CC3F457" w:rsidR="00B64DD9" w:rsidRPr="00920905" w:rsidRDefault="00B64DD9" w:rsidP="00B64DD9">
            <w:pPr>
              <w:rPr>
                <w:rFonts w:cstheme="minorHAnsi"/>
                <w:color w:val="FF0000"/>
                <w:szCs w:val="20"/>
              </w:rPr>
            </w:pPr>
            <w:r w:rsidRPr="00BE62DA">
              <w:rPr>
                <w:rFonts w:ascii="Calibri" w:hAnsi="Calibri" w:cs="Calibri"/>
                <w:szCs w:val="20"/>
              </w:rPr>
              <w:t>Education - Community College</w:t>
            </w:r>
          </w:p>
        </w:tc>
        <w:tc>
          <w:tcPr>
            <w:tcW w:w="1779" w:type="pct"/>
          </w:tcPr>
          <w:p w14:paraId="0FCC70F1" w14:textId="67213C01" w:rsidR="00B64DD9" w:rsidRPr="00920905" w:rsidRDefault="00B64DD9" w:rsidP="00B64DD9">
            <w:pPr>
              <w:rPr>
                <w:rFonts w:cstheme="minorHAnsi"/>
                <w:color w:val="FF0000"/>
                <w:szCs w:val="20"/>
              </w:rPr>
            </w:pPr>
            <w:r>
              <w:rPr>
                <w:rFonts w:ascii="Calibri" w:hAnsi="Calibri" w:cs="Calibri"/>
                <w:szCs w:val="20"/>
              </w:rPr>
              <w:t>Refrigeration</w:t>
            </w:r>
          </w:p>
        </w:tc>
        <w:tc>
          <w:tcPr>
            <w:tcW w:w="1535" w:type="pct"/>
          </w:tcPr>
          <w:p w14:paraId="31157856" w14:textId="76D2366F" w:rsidR="00B64DD9" w:rsidRPr="00920905" w:rsidRDefault="00B64DD9" w:rsidP="00B64DD9">
            <w:pPr>
              <w:rPr>
                <w:rFonts w:cstheme="minorHAnsi"/>
                <w:color w:val="FF0000"/>
                <w:szCs w:val="20"/>
              </w:rPr>
            </w:pPr>
            <w:r w:rsidRPr="00BE62DA">
              <w:rPr>
                <w:rFonts w:ascii="Calibri" w:hAnsi="Calibri" w:cs="Calibri"/>
                <w:szCs w:val="20"/>
              </w:rPr>
              <w:t>NON_RES</w:t>
            </w:r>
          </w:p>
        </w:tc>
      </w:tr>
      <w:tr w:rsidR="00B64DD9" w:rsidRPr="00500C4E" w14:paraId="51364062" w14:textId="77777777" w:rsidTr="00920905">
        <w:tc>
          <w:tcPr>
            <w:tcW w:w="1686" w:type="pct"/>
          </w:tcPr>
          <w:p w14:paraId="782FB73C" w14:textId="64819BE6" w:rsidR="00B64DD9" w:rsidRPr="00920905" w:rsidRDefault="00B64DD9" w:rsidP="00B64DD9">
            <w:pPr>
              <w:rPr>
                <w:rFonts w:cstheme="minorHAnsi"/>
                <w:color w:val="FF0000"/>
                <w:szCs w:val="20"/>
              </w:rPr>
            </w:pPr>
            <w:r w:rsidRPr="00BE62DA">
              <w:rPr>
                <w:rFonts w:ascii="Calibri" w:hAnsi="Calibri" w:cs="Calibri"/>
                <w:szCs w:val="20"/>
              </w:rPr>
              <w:t>Education - University</w:t>
            </w:r>
          </w:p>
        </w:tc>
        <w:tc>
          <w:tcPr>
            <w:tcW w:w="1779" w:type="pct"/>
          </w:tcPr>
          <w:p w14:paraId="59956F42" w14:textId="0107DAF8" w:rsidR="00B64DD9" w:rsidRPr="00920905" w:rsidRDefault="00B64DD9" w:rsidP="00B64DD9">
            <w:pPr>
              <w:rPr>
                <w:rFonts w:cstheme="minorHAnsi"/>
                <w:color w:val="FF0000"/>
                <w:szCs w:val="20"/>
              </w:rPr>
            </w:pPr>
            <w:r>
              <w:rPr>
                <w:rFonts w:ascii="Calibri" w:hAnsi="Calibri" w:cs="Calibri"/>
                <w:szCs w:val="20"/>
              </w:rPr>
              <w:t>Refrigeration</w:t>
            </w:r>
          </w:p>
        </w:tc>
        <w:tc>
          <w:tcPr>
            <w:tcW w:w="1535" w:type="pct"/>
          </w:tcPr>
          <w:p w14:paraId="54DA2E7C" w14:textId="797F42EC" w:rsidR="00B64DD9" w:rsidRPr="00920905" w:rsidRDefault="00B64DD9" w:rsidP="00B64DD9">
            <w:pPr>
              <w:rPr>
                <w:rFonts w:cstheme="minorHAnsi"/>
                <w:color w:val="FF0000"/>
                <w:szCs w:val="20"/>
              </w:rPr>
            </w:pPr>
            <w:r w:rsidRPr="00BE62DA">
              <w:rPr>
                <w:rFonts w:ascii="Calibri" w:hAnsi="Calibri" w:cs="Calibri"/>
                <w:szCs w:val="20"/>
              </w:rPr>
              <w:t>NON_RES</w:t>
            </w:r>
          </w:p>
        </w:tc>
      </w:tr>
      <w:tr w:rsidR="00B64DD9" w:rsidRPr="00500C4E" w14:paraId="0CD48172" w14:textId="77777777" w:rsidTr="00920905">
        <w:tc>
          <w:tcPr>
            <w:tcW w:w="1686" w:type="pct"/>
          </w:tcPr>
          <w:p w14:paraId="2950DAAD" w14:textId="5B46AEC7" w:rsidR="00B64DD9" w:rsidRPr="00920905" w:rsidRDefault="00B64DD9" w:rsidP="00B64DD9">
            <w:pPr>
              <w:rPr>
                <w:rFonts w:cstheme="minorHAnsi"/>
                <w:color w:val="FF0000"/>
                <w:szCs w:val="20"/>
              </w:rPr>
            </w:pPr>
            <w:r w:rsidRPr="00BE62DA">
              <w:rPr>
                <w:rFonts w:ascii="Calibri" w:hAnsi="Calibri" w:cs="Calibri"/>
                <w:szCs w:val="20"/>
              </w:rPr>
              <w:t>Grocery</w:t>
            </w:r>
          </w:p>
        </w:tc>
        <w:tc>
          <w:tcPr>
            <w:tcW w:w="1779" w:type="pct"/>
          </w:tcPr>
          <w:p w14:paraId="1DE1E7FB" w14:textId="2567FF16" w:rsidR="00B64DD9" w:rsidRPr="00920905" w:rsidRDefault="00B64DD9" w:rsidP="00B64DD9">
            <w:pPr>
              <w:rPr>
                <w:rFonts w:cstheme="minorHAnsi"/>
                <w:color w:val="FF0000"/>
                <w:szCs w:val="20"/>
              </w:rPr>
            </w:pPr>
            <w:r>
              <w:rPr>
                <w:rFonts w:ascii="Calibri" w:hAnsi="Calibri" w:cs="Calibri"/>
                <w:szCs w:val="20"/>
              </w:rPr>
              <w:t>Refrigeration</w:t>
            </w:r>
          </w:p>
        </w:tc>
        <w:tc>
          <w:tcPr>
            <w:tcW w:w="1535" w:type="pct"/>
          </w:tcPr>
          <w:p w14:paraId="7E8D4672" w14:textId="223748A7" w:rsidR="00B64DD9" w:rsidRPr="00920905" w:rsidRDefault="00B64DD9" w:rsidP="00B64DD9">
            <w:pPr>
              <w:rPr>
                <w:rFonts w:cstheme="minorHAnsi"/>
                <w:color w:val="FF0000"/>
                <w:szCs w:val="20"/>
              </w:rPr>
            </w:pPr>
            <w:r w:rsidRPr="00BE62DA">
              <w:rPr>
                <w:rFonts w:ascii="Calibri" w:hAnsi="Calibri" w:cs="Calibri"/>
                <w:szCs w:val="20"/>
              </w:rPr>
              <w:t>NON_RES</w:t>
            </w:r>
          </w:p>
        </w:tc>
      </w:tr>
      <w:tr w:rsidR="00B64DD9" w:rsidRPr="00500C4E" w14:paraId="62EF3C61" w14:textId="77777777" w:rsidTr="00920905">
        <w:tc>
          <w:tcPr>
            <w:tcW w:w="1686" w:type="pct"/>
          </w:tcPr>
          <w:p w14:paraId="748C9664" w14:textId="7DDD782E" w:rsidR="00B64DD9" w:rsidRPr="00920905" w:rsidRDefault="00B64DD9" w:rsidP="00B64DD9">
            <w:pPr>
              <w:rPr>
                <w:rFonts w:cstheme="minorHAnsi"/>
                <w:color w:val="FF0000"/>
                <w:szCs w:val="20"/>
              </w:rPr>
            </w:pPr>
            <w:r w:rsidRPr="00BE62DA">
              <w:rPr>
                <w:rFonts w:ascii="Calibri" w:hAnsi="Calibri" w:cs="Calibri"/>
                <w:szCs w:val="20"/>
              </w:rPr>
              <w:t>Health/Medical - Hospital</w:t>
            </w:r>
          </w:p>
        </w:tc>
        <w:tc>
          <w:tcPr>
            <w:tcW w:w="1779" w:type="pct"/>
          </w:tcPr>
          <w:p w14:paraId="5072687E" w14:textId="3B729C10" w:rsidR="00B64DD9" w:rsidRPr="00920905" w:rsidRDefault="00B64DD9" w:rsidP="00B64DD9">
            <w:pPr>
              <w:rPr>
                <w:rFonts w:cstheme="minorHAnsi"/>
                <w:color w:val="FF0000"/>
                <w:szCs w:val="20"/>
              </w:rPr>
            </w:pPr>
            <w:r>
              <w:rPr>
                <w:rFonts w:ascii="Calibri" w:hAnsi="Calibri" w:cs="Calibri"/>
                <w:szCs w:val="20"/>
              </w:rPr>
              <w:t>Refrigeration</w:t>
            </w:r>
          </w:p>
        </w:tc>
        <w:tc>
          <w:tcPr>
            <w:tcW w:w="1535" w:type="pct"/>
          </w:tcPr>
          <w:p w14:paraId="501F7C45" w14:textId="7B2B467C" w:rsidR="00B64DD9" w:rsidRPr="00920905" w:rsidRDefault="00B64DD9" w:rsidP="00B64DD9">
            <w:pPr>
              <w:rPr>
                <w:rFonts w:cstheme="minorHAnsi"/>
                <w:color w:val="FF0000"/>
                <w:szCs w:val="20"/>
              </w:rPr>
            </w:pPr>
            <w:r w:rsidRPr="00BE62DA">
              <w:rPr>
                <w:rFonts w:ascii="Calibri" w:hAnsi="Calibri" w:cs="Calibri"/>
                <w:szCs w:val="20"/>
              </w:rPr>
              <w:t>NON_RES</w:t>
            </w:r>
          </w:p>
        </w:tc>
      </w:tr>
      <w:tr w:rsidR="00B64DD9" w:rsidRPr="00500C4E" w14:paraId="49C07C85" w14:textId="77777777" w:rsidTr="00920905">
        <w:tc>
          <w:tcPr>
            <w:tcW w:w="1686" w:type="pct"/>
          </w:tcPr>
          <w:p w14:paraId="0EEC42DD" w14:textId="34586C81" w:rsidR="00B64DD9" w:rsidRPr="00920905" w:rsidRDefault="00B64DD9" w:rsidP="00B64DD9">
            <w:pPr>
              <w:rPr>
                <w:rFonts w:cstheme="minorHAnsi"/>
                <w:color w:val="FF0000"/>
                <w:szCs w:val="20"/>
              </w:rPr>
            </w:pPr>
            <w:r w:rsidRPr="00BE62DA">
              <w:rPr>
                <w:rFonts w:ascii="Calibri" w:hAnsi="Calibri" w:cs="Calibri"/>
                <w:szCs w:val="20"/>
              </w:rPr>
              <w:t>Health/Medical - Nursing Home</w:t>
            </w:r>
          </w:p>
        </w:tc>
        <w:tc>
          <w:tcPr>
            <w:tcW w:w="1779" w:type="pct"/>
          </w:tcPr>
          <w:p w14:paraId="18CDC1CC" w14:textId="36D9E8FE" w:rsidR="00B64DD9" w:rsidRPr="00920905" w:rsidRDefault="00B64DD9" w:rsidP="00B64DD9">
            <w:pPr>
              <w:rPr>
                <w:rFonts w:cstheme="minorHAnsi"/>
                <w:color w:val="FF0000"/>
                <w:szCs w:val="20"/>
              </w:rPr>
            </w:pPr>
            <w:r>
              <w:rPr>
                <w:rFonts w:ascii="Calibri" w:hAnsi="Calibri" w:cs="Calibri"/>
                <w:szCs w:val="20"/>
              </w:rPr>
              <w:t>Refrigeration</w:t>
            </w:r>
          </w:p>
        </w:tc>
        <w:tc>
          <w:tcPr>
            <w:tcW w:w="1535" w:type="pct"/>
          </w:tcPr>
          <w:p w14:paraId="28907AB7" w14:textId="463BF3D0" w:rsidR="00B64DD9" w:rsidRPr="00920905" w:rsidRDefault="00B64DD9" w:rsidP="00B64DD9">
            <w:pPr>
              <w:rPr>
                <w:rFonts w:cstheme="minorHAnsi"/>
                <w:color w:val="FF0000"/>
                <w:szCs w:val="20"/>
              </w:rPr>
            </w:pPr>
            <w:r w:rsidRPr="00BE62DA">
              <w:rPr>
                <w:rFonts w:ascii="Calibri" w:hAnsi="Calibri" w:cs="Calibri"/>
                <w:szCs w:val="20"/>
              </w:rPr>
              <w:t>NON_RES</w:t>
            </w:r>
          </w:p>
        </w:tc>
      </w:tr>
      <w:tr w:rsidR="00B64DD9" w:rsidRPr="00500C4E" w14:paraId="1C07497D" w14:textId="77777777" w:rsidTr="00920905">
        <w:tc>
          <w:tcPr>
            <w:tcW w:w="1686" w:type="pct"/>
          </w:tcPr>
          <w:p w14:paraId="7875E370" w14:textId="3F476B01" w:rsidR="00B64DD9" w:rsidRPr="00920905" w:rsidRDefault="00B64DD9" w:rsidP="00B64DD9">
            <w:pPr>
              <w:rPr>
                <w:rFonts w:cstheme="minorHAnsi"/>
                <w:color w:val="FF0000"/>
                <w:szCs w:val="20"/>
              </w:rPr>
            </w:pPr>
            <w:r w:rsidRPr="00BE62DA">
              <w:rPr>
                <w:rFonts w:ascii="Calibri" w:hAnsi="Calibri" w:cs="Calibri"/>
                <w:szCs w:val="20"/>
              </w:rPr>
              <w:t>Lodging - Hotel</w:t>
            </w:r>
          </w:p>
        </w:tc>
        <w:tc>
          <w:tcPr>
            <w:tcW w:w="1779" w:type="pct"/>
          </w:tcPr>
          <w:p w14:paraId="5DA339D2" w14:textId="60CC2BE4" w:rsidR="00B64DD9" w:rsidRPr="00920905" w:rsidRDefault="00B64DD9" w:rsidP="00B64DD9">
            <w:pPr>
              <w:rPr>
                <w:rFonts w:cstheme="minorHAnsi"/>
                <w:color w:val="FF0000"/>
                <w:szCs w:val="20"/>
              </w:rPr>
            </w:pPr>
            <w:r>
              <w:rPr>
                <w:rFonts w:ascii="Calibri" w:hAnsi="Calibri" w:cs="Calibri"/>
                <w:szCs w:val="20"/>
              </w:rPr>
              <w:t>Refrigeration</w:t>
            </w:r>
          </w:p>
        </w:tc>
        <w:tc>
          <w:tcPr>
            <w:tcW w:w="1535" w:type="pct"/>
          </w:tcPr>
          <w:p w14:paraId="59EE0A20" w14:textId="05055AA4" w:rsidR="00B64DD9" w:rsidRPr="00920905" w:rsidRDefault="00B64DD9" w:rsidP="00B64DD9">
            <w:pPr>
              <w:rPr>
                <w:rFonts w:cstheme="minorHAnsi"/>
                <w:color w:val="FF0000"/>
                <w:szCs w:val="20"/>
              </w:rPr>
            </w:pPr>
            <w:r w:rsidRPr="00BE62DA">
              <w:rPr>
                <w:rFonts w:ascii="Calibri" w:hAnsi="Calibri" w:cs="Calibri"/>
                <w:szCs w:val="20"/>
              </w:rPr>
              <w:t>NON_RES</w:t>
            </w:r>
          </w:p>
        </w:tc>
      </w:tr>
      <w:tr w:rsidR="00B64DD9" w:rsidRPr="00500C4E" w14:paraId="645712ED" w14:textId="77777777" w:rsidTr="00920905">
        <w:tc>
          <w:tcPr>
            <w:tcW w:w="1686" w:type="pct"/>
          </w:tcPr>
          <w:p w14:paraId="694405F4" w14:textId="1813DFC4" w:rsidR="00B64DD9" w:rsidRPr="00920905" w:rsidRDefault="00B64DD9" w:rsidP="00B64DD9">
            <w:pPr>
              <w:rPr>
                <w:rFonts w:cstheme="minorHAnsi"/>
                <w:color w:val="FF0000"/>
                <w:szCs w:val="20"/>
              </w:rPr>
            </w:pPr>
            <w:r w:rsidRPr="00BE62DA">
              <w:rPr>
                <w:rFonts w:ascii="Calibri" w:hAnsi="Calibri" w:cs="Calibri"/>
                <w:szCs w:val="20"/>
              </w:rPr>
              <w:t xml:space="preserve">Office </w:t>
            </w:r>
            <w:r>
              <w:rPr>
                <w:rFonts w:ascii="Calibri" w:hAnsi="Calibri" w:cs="Calibri"/>
                <w:szCs w:val="20"/>
              </w:rPr>
              <w:t>–</w:t>
            </w:r>
            <w:r w:rsidRPr="00BE62DA">
              <w:rPr>
                <w:rFonts w:ascii="Calibri" w:hAnsi="Calibri" w:cs="Calibri"/>
                <w:szCs w:val="20"/>
              </w:rPr>
              <w:t xml:space="preserve"> Large</w:t>
            </w:r>
          </w:p>
        </w:tc>
        <w:tc>
          <w:tcPr>
            <w:tcW w:w="1779" w:type="pct"/>
          </w:tcPr>
          <w:p w14:paraId="71A555ED" w14:textId="4AF5F9B8" w:rsidR="00B64DD9" w:rsidRPr="00920905" w:rsidRDefault="00B64DD9" w:rsidP="00B64DD9">
            <w:pPr>
              <w:rPr>
                <w:rFonts w:cstheme="minorHAnsi"/>
                <w:color w:val="FF0000"/>
                <w:szCs w:val="20"/>
              </w:rPr>
            </w:pPr>
            <w:r>
              <w:rPr>
                <w:rFonts w:ascii="Calibri" w:hAnsi="Calibri" w:cs="Calibri"/>
                <w:szCs w:val="20"/>
              </w:rPr>
              <w:t>Refrigeration</w:t>
            </w:r>
          </w:p>
        </w:tc>
        <w:tc>
          <w:tcPr>
            <w:tcW w:w="1535" w:type="pct"/>
          </w:tcPr>
          <w:p w14:paraId="6EDE61B3" w14:textId="0C812BF9" w:rsidR="00B64DD9" w:rsidRPr="00920905" w:rsidRDefault="00B64DD9" w:rsidP="00B64DD9">
            <w:pPr>
              <w:rPr>
                <w:rFonts w:cstheme="minorHAnsi"/>
                <w:color w:val="FF0000"/>
                <w:szCs w:val="20"/>
              </w:rPr>
            </w:pPr>
            <w:r w:rsidRPr="00BE62DA">
              <w:rPr>
                <w:rFonts w:ascii="Calibri" w:hAnsi="Calibri" w:cs="Calibri"/>
                <w:szCs w:val="20"/>
              </w:rPr>
              <w:t>NON_RES</w:t>
            </w:r>
          </w:p>
        </w:tc>
      </w:tr>
      <w:tr w:rsidR="00B64DD9" w:rsidRPr="00500C4E" w14:paraId="31C0A518" w14:textId="77777777" w:rsidTr="00920905">
        <w:tc>
          <w:tcPr>
            <w:tcW w:w="1686" w:type="pct"/>
          </w:tcPr>
          <w:p w14:paraId="7B7DF485" w14:textId="68E8F884" w:rsidR="00893D10" w:rsidRPr="00893D10" w:rsidRDefault="00893D10" w:rsidP="00B64DD9">
            <w:pPr>
              <w:rPr>
                <w:rFonts w:ascii="Calibri" w:hAnsi="Calibri" w:cs="Calibri"/>
                <w:szCs w:val="20"/>
              </w:rPr>
            </w:pPr>
            <w:r>
              <w:rPr>
                <w:rFonts w:ascii="Calibri" w:hAnsi="Calibri" w:cs="Calibri"/>
                <w:szCs w:val="20"/>
              </w:rPr>
              <w:t>Office – Small</w:t>
            </w:r>
          </w:p>
        </w:tc>
        <w:tc>
          <w:tcPr>
            <w:tcW w:w="1779" w:type="pct"/>
          </w:tcPr>
          <w:p w14:paraId="2A1A9E22" w14:textId="5979DD56" w:rsidR="00B64DD9" w:rsidRPr="00920905" w:rsidRDefault="00B64DD9" w:rsidP="00B64DD9">
            <w:pPr>
              <w:rPr>
                <w:rFonts w:cstheme="minorHAnsi"/>
                <w:color w:val="FF0000"/>
                <w:szCs w:val="20"/>
              </w:rPr>
            </w:pPr>
            <w:r>
              <w:rPr>
                <w:rFonts w:ascii="Calibri" w:hAnsi="Calibri" w:cs="Calibri"/>
                <w:szCs w:val="20"/>
              </w:rPr>
              <w:t>Refrigeration</w:t>
            </w:r>
          </w:p>
        </w:tc>
        <w:tc>
          <w:tcPr>
            <w:tcW w:w="1535" w:type="pct"/>
          </w:tcPr>
          <w:p w14:paraId="5A315617" w14:textId="5280B823" w:rsidR="00B64DD9" w:rsidRPr="00920905" w:rsidRDefault="00B64DD9" w:rsidP="00B64DD9">
            <w:pPr>
              <w:rPr>
                <w:rFonts w:cstheme="minorHAnsi"/>
                <w:color w:val="FF0000"/>
                <w:szCs w:val="20"/>
              </w:rPr>
            </w:pPr>
            <w:r w:rsidRPr="00BE62DA">
              <w:rPr>
                <w:rFonts w:ascii="Calibri" w:hAnsi="Calibri" w:cs="Calibri"/>
                <w:szCs w:val="20"/>
              </w:rPr>
              <w:t>NON_RES</w:t>
            </w:r>
          </w:p>
        </w:tc>
      </w:tr>
      <w:tr w:rsidR="00893D10" w:rsidRPr="00500C4E" w14:paraId="10ED44FE" w14:textId="77777777" w:rsidTr="00920905">
        <w:tc>
          <w:tcPr>
            <w:tcW w:w="1686" w:type="pct"/>
          </w:tcPr>
          <w:p w14:paraId="468A6368" w14:textId="208A2397" w:rsidR="00893D10" w:rsidRPr="00920905" w:rsidRDefault="00893D10" w:rsidP="00893D10">
            <w:pPr>
              <w:rPr>
                <w:rFonts w:cstheme="minorHAnsi"/>
                <w:color w:val="FF0000"/>
                <w:szCs w:val="20"/>
              </w:rPr>
            </w:pPr>
            <w:r w:rsidRPr="00BE62DA">
              <w:rPr>
                <w:rFonts w:ascii="Calibri" w:hAnsi="Calibri" w:cs="Calibri"/>
                <w:szCs w:val="20"/>
              </w:rPr>
              <w:t>Restaurant - Fast-Food</w:t>
            </w:r>
          </w:p>
        </w:tc>
        <w:tc>
          <w:tcPr>
            <w:tcW w:w="1779" w:type="pct"/>
          </w:tcPr>
          <w:p w14:paraId="461476E1" w14:textId="5F7376D8" w:rsidR="00893D10" w:rsidRPr="00920905" w:rsidRDefault="00893D10" w:rsidP="00893D10">
            <w:pPr>
              <w:rPr>
                <w:rFonts w:cstheme="minorHAnsi"/>
                <w:color w:val="FF0000"/>
                <w:szCs w:val="20"/>
              </w:rPr>
            </w:pPr>
            <w:r>
              <w:rPr>
                <w:rFonts w:ascii="Calibri" w:hAnsi="Calibri" w:cs="Calibri"/>
                <w:szCs w:val="20"/>
              </w:rPr>
              <w:t>Refrigeration</w:t>
            </w:r>
          </w:p>
        </w:tc>
        <w:tc>
          <w:tcPr>
            <w:tcW w:w="1535" w:type="pct"/>
          </w:tcPr>
          <w:p w14:paraId="1A21775F" w14:textId="6DC641E6" w:rsidR="00893D10" w:rsidRPr="00920905" w:rsidRDefault="00893D10" w:rsidP="00893D10">
            <w:pPr>
              <w:rPr>
                <w:rFonts w:cstheme="minorHAnsi"/>
                <w:color w:val="FF0000"/>
                <w:szCs w:val="20"/>
              </w:rPr>
            </w:pPr>
            <w:r w:rsidRPr="00BE62DA">
              <w:rPr>
                <w:rFonts w:ascii="Calibri" w:hAnsi="Calibri" w:cs="Calibri"/>
                <w:szCs w:val="20"/>
              </w:rPr>
              <w:t>NON_RES</w:t>
            </w:r>
          </w:p>
        </w:tc>
      </w:tr>
      <w:tr w:rsidR="00893D10" w:rsidRPr="00500C4E" w14:paraId="70641F4A" w14:textId="77777777" w:rsidTr="00920905">
        <w:tc>
          <w:tcPr>
            <w:tcW w:w="1686" w:type="pct"/>
          </w:tcPr>
          <w:p w14:paraId="797C70B4" w14:textId="12F7BC67" w:rsidR="00893D10" w:rsidRPr="00920905" w:rsidRDefault="00893D10" w:rsidP="00893D10">
            <w:pPr>
              <w:rPr>
                <w:rFonts w:cstheme="minorHAnsi"/>
                <w:color w:val="FF0000"/>
                <w:szCs w:val="20"/>
              </w:rPr>
            </w:pPr>
            <w:r w:rsidRPr="00BE62DA">
              <w:rPr>
                <w:rFonts w:ascii="Calibri" w:hAnsi="Calibri" w:cs="Calibri"/>
                <w:szCs w:val="20"/>
              </w:rPr>
              <w:t>Restaurant - Sit-Down</w:t>
            </w:r>
          </w:p>
        </w:tc>
        <w:tc>
          <w:tcPr>
            <w:tcW w:w="1779" w:type="pct"/>
          </w:tcPr>
          <w:p w14:paraId="35FC9E94" w14:textId="2F57BDA6" w:rsidR="00893D10" w:rsidRPr="00920905" w:rsidRDefault="00893D10" w:rsidP="00893D10">
            <w:pPr>
              <w:rPr>
                <w:rFonts w:cstheme="minorHAnsi"/>
                <w:color w:val="FF0000"/>
                <w:szCs w:val="20"/>
              </w:rPr>
            </w:pPr>
            <w:r>
              <w:rPr>
                <w:rFonts w:ascii="Calibri" w:hAnsi="Calibri" w:cs="Calibri"/>
                <w:szCs w:val="20"/>
              </w:rPr>
              <w:t>Refrigeration</w:t>
            </w:r>
          </w:p>
        </w:tc>
        <w:tc>
          <w:tcPr>
            <w:tcW w:w="1535" w:type="pct"/>
          </w:tcPr>
          <w:p w14:paraId="375C70E7" w14:textId="0698B693" w:rsidR="00893D10" w:rsidRPr="00920905" w:rsidRDefault="00893D10" w:rsidP="00893D10">
            <w:pPr>
              <w:rPr>
                <w:rFonts w:cstheme="minorHAnsi"/>
                <w:color w:val="FF0000"/>
                <w:szCs w:val="20"/>
              </w:rPr>
            </w:pPr>
            <w:r w:rsidRPr="00BE62DA">
              <w:rPr>
                <w:rFonts w:ascii="Calibri" w:hAnsi="Calibri" w:cs="Calibri"/>
                <w:szCs w:val="20"/>
              </w:rPr>
              <w:t>NON_RES</w:t>
            </w:r>
          </w:p>
        </w:tc>
      </w:tr>
      <w:tr w:rsidR="00893D10" w:rsidRPr="00500C4E" w14:paraId="389F2B47" w14:textId="77777777" w:rsidTr="00920905">
        <w:tc>
          <w:tcPr>
            <w:tcW w:w="1686" w:type="pct"/>
          </w:tcPr>
          <w:p w14:paraId="4C113DC3" w14:textId="54D81F78" w:rsidR="00893D10" w:rsidRPr="00920905" w:rsidRDefault="00893D10" w:rsidP="00893D10">
            <w:pPr>
              <w:rPr>
                <w:rFonts w:cstheme="minorHAnsi"/>
                <w:color w:val="FF0000"/>
                <w:szCs w:val="20"/>
              </w:rPr>
            </w:pPr>
            <w:r w:rsidRPr="00BE62DA">
              <w:rPr>
                <w:rFonts w:ascii="Calibri" w:hAnsi="Calibri" w:cs="Calibri"/>
                <w:szCs w:val="20"/>
              </w:rPr>
              <w:t>Retail - Multistory Large</w:t>
            </w:r>
          </w:p>
        </w:tc>
        <w:tc>
          <w:tcPr>
            <w:tcW w:w="1779" w:type="pct"/>
          </w:tcPr>
          <w:p w14:paraId="4C7B40A0" w14:textId="58ACF309" w:rsidR="00893D10" w:rsidRPr="00920905" w:rsidRDefault="00893D10" w:rsidP="00893D10">
            <w:pPr>
              <w:rPr>
                <w:rFonts w:cstheme="minorHAnsi"/>
                <w:color w:val="FF0000"/>
                <w:szCs w:val="20"/>
              </w:rPr>
            </w:pPr>
            <w:r>
              <w:rPr>
                <w:rFonts w:ascii="Calibri" w:hAnsi="Calibri" w:cs="Calibri"/>
                <w:szCs w:val="20"/>
              </w:rPr>
              <w:t>Refrigeration</w:t>
            </w:r>
          </w:p>
        </w:tc>
        <w:tc>
          <w:tcPr>
            <w:tcW w:w="1535" w:type="pct"/>
          </w:tcPr>
          <w:p w14:paraId="2F6B0B59" w14:textId="2875FBE8" w:rsidR="00893D10" w:rsidRPr="00920905" w:rsidRDefault="00893D10" w:rsidP="00893D10">
            <w:pPr>
              <w:rPr>
                <w:rFonts w:cstheme="minorHAnsi"/>
                <w:color w:val="FF0000"/>
                <w:szCs w:val="20"/>
              </w:rPr>
            </w:pPr>
            <w:r w:rsidRPr="00BE62DA">
              <w:rPr>
                <w:rFonts w:ascii="Calibri" w:hAnsi="Calibri" w:cs="Calibri"/>
                <w:szCs w:val="20"/>
              </w:rPr>
              <w:t>NON_RES</w:t>
            </w:r>
          </w:p>
        </w:tc>
      </w:tr>
      <w:tr w:rsidR="00893D10" w:rsidRPr="00500C4E" w14:paraId="2918C66F" w14:textId="77777777" w:rsidTr="00920905">
        <w:tc>
          <w:tcPr>
            <w:tcW w:w="1686" w:type="pct"/>
          </w:tcPr>
          <w:p w14:paraId="4D4C0361" w14:textId="2EEB8525" w:rsidR="00893D10" w:rsidRPr="00920905" w:rsidRDefault="00893D10" w:rsidP="00893D10">
            <w:pPr>
              <w:rPr>
                <w:rFonts w:cstheme="minorHAnsi"/>
                <w:color w:val="FF0000"/>
                <w:szCs w:val="20"/>
              </w:rPr>
            </w:pPr>
            <w:r w:rsidRPr="00BE62DA">
              <w:rPr>
                <w:rFonts w:ascii="Calibri" w:hAnsi="Calibri" w:cs="Calibri"/>
                <w:szCs w:val="20"/>
              </w:rPr>
              <w:t>Retail - Single-Story Large</w:t>
            </w:r>
          </w:p>
        </w:tc>
        <w:tc>
          <w:tcPr>
            <w:tcW w:w="1779" w:type="pct"/>
          </w:tcPr>
          <w:p w14:paraId="782A901A" w14:textId="1C9C13F4" w:rsidR="00893D10" w:rsidRPr="00920905" w:rsidRDefault="00893D10" w:rsidP="00893D10">
            <w:pPr>
              <w:rPr>
                <w:rFonts w:cstheme="minorHAnsi"/>
                <w:color w:val="FF0000"/>
                <w:szCs w:val="20"/>
              </w:rPr>
            </w:pPr>
            <w:r>
              <w:rPr>
                <w:rFonts w:ascii="Calibri" w:hAnsi="Calibri" w:cs="Calibri"/>
                <w:szCs w:val="20"/>
              </w:rPr>
              <w:t>Refrigeration</w:t>
            </w:r>
          </w:p>
        </w:tc>
        <w:tc>
          <w:tcPr>
            <w:tcW w:w="1535" w:type="pct"/>
          </w:tcPr>
          <w:p w14:paraId="13E73CEB" w14:textId="2D94C20D" w:rsidR="00893D10" w:rsidRPr="00920905" w:rsidRDefault="00893D10" w:rsidP="00893D10">
            <w:pPr>
              <w:rPr>
                <w:rFonts w:cstheme="minorHAnsi"/>
                <w:color w:val="FF0000"/>
                <w:szCs w:val="20"/>
              </w:rPr>
            </w:pPr>
            <w:r w:rsidRPr="00BE62DA">
              <w:rPr>
                <w:rFonts w:ascii="Calibri" w:hAnsi="Calibri" w:cs="Calibri"/>
                <w:szCs w:val="20"/>
              </w:rPr>
              <w:t>NON_RES</w:t>
            </w:r>
          </w:p>
        </w:tc>
      </w:tr>
      <w:tr w:rsidR="00893D10" w:rsidRPr="00500C4E" w14:paraId="48A1424E" w14:textId="77777777" w:rsidTr="00920905">
        <w:tc>
          <w:tcPr>
            <w:tcW w:w="1686" w:type="pct"/>
          </w:tcPr>
          <w:p w14:paraId="6A863AFD" w14:textId="3EE526F1" w:rsidR="00893D10" w:rsidRPr="00BE62DA" w:rsidRDefault="00893D10" w:rsidP="00893D10">
            <w:pPr>
              <w:rPr>
                <w:rFonts w:ascii="Calibri" w:hAnsi="Calibri" w:cs="Calibri"/>
                <w:szCs w:val="20"/>
              </w:rPr>
            </w:pPr>
            <w:r w:rsidRPr="00BE62DA">
              <w:rPr>
                <w:rFonts w:ascii="Calibri" w:hAnsi="Calibri" w:cs="Calibri"/>
                <w:szCs w:val="20"/>
              </w:rPr>
              <w:t xml:space="preserve">Retail </w:t>
            </w:r>
            <w:r>
              <w:rPr>
                <w:rFonts w:ascii="Calibri" w:hAnsi="Calibri" w:cs="Calibri"/>
                <w:szCs w:val="20"/>
              </w:rPr>
              <w:t>–</w:t>
            </w:r>
            <w:r w:rsidRPr="00BE62DA">
              <w:rPr>
                <w:rFonts w:ascii="Calibri" w:hAnsi="Calibri" w:cs="Calibri"/>
                <w:szCs w:val="20"/>
              </w:rPr>
              <w:t xml:space="preserve"> Small</w:t>
            </w:r>
          </w:p>
        </w:tc>
        <w:tc>
          <w:tcPr>
            <w:tcW w:w="1779" w:type="pct"/>
          </w:tcPr>
          <w:p w14:paraId="3A91E928" w14:textId="7813CA8F" w:rsidR="00893D10" w:rsidRDefault="00893D10" w:rsidP="00893D10">
            <w:pPr>
              <w:rPr>
                <w:rFonts w:ascii="Calibri" w:hAnsi="Calibri" w:cs="Calibri"/>
                <w:szCs w:val="20"/>
              </w:rPr>
            </w:pPr>
            <w:r>
              <w:rPr>
                <w:rFonts w:ascii="Calibri" w:hAnsi="Calibri" w:cs="Calibri"/>
                <w:szCs w:val="20"/>
              </w:rPr>
              <w:t>Refrigeration</w:t>
            </w:r>
          </w:p>
        </w:tc>
        <w:tc>
          <w:tcPr>
            <w:tcW w:w="1535" w:type="pct"/>
          </w:tcPr>
          <w:p w14:paraId="0AAA76EE" w14:textId="2A4EB614" w:rsidR="00893D10" w:rsidRPr="00BE62DA" w:rsidRDefault="00893D10" w:rsidP="00893D10">
            <w:pPr>
              <w:rPr>
                <w:rFonts w:ascii="Calibri" w:hAnsi="Calibri" w:cs="Calibri"/>
                <w:szCs w:val="20"/>
              </w:rPr>
            </w:pPr>
            <w:r w:rsidRPr="00BE62DA">
              <w:rPr>
                <w:rFonts w:ascii="Calibri" w:hAnsi="Calibri" w:cs="Calibri"/>
                <w:szCs w:val="20"/>
              </w:rPr>
              <w:t>NON_RES</w:t>
            </w:r>
          </w:p>
        </w:tc>
      </w:tr>
    </w:tbl>
    <w:p w14:paraId="52C9214C" w14:textId="49840D8E"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3ABA609A" w14:textId="48800701" w:rsidR="00B64DD9" w:rsidRPr="00B64DD9" w:rsidRDefault="00B64DD9" w:rsidP="00B64DD9">
      <w:pPr>
        <w:rPr>
          <w:rFonts w:cstheme="minorHAnsi"/>
          <w:szCs w:val="22"/>
        </w:rPr>
      </w:pPr>
      <w:r>
        <w:rPr>
          <w:rFonts w:cstheme="minorHAnsi"/>
          <w:szCs w:val="22"/>
        </w:rPr>
        <w:t>For REA measures, t</w:t>
      </w:r>
      <w:r w:rsidRPr="00675216">
        <w:rPr>
          <w:rFonts w:cstheme="minorHAnsi"/>
          <w:szCs w:val="22"/>
        </w:rPr>
        <w:t xml:space="preserve">he </w:t>
      </w:r>
      <w:r>
        <w:rPr>
          <w:rFonts w:cstheme="minorHAnsi"/>
          <w:szCs w:val="22"/>
        </w:rPr>
        <w:t>base case cost is equal to zero</w:t>
      </w:r>
      <w:r w:rsidRPr="00675216">
        <w:rPr>
          <w:rFonts w:cstheme="minorHAnsi"/>
          <w:szCs w:val="22"/>
        </w:rPr>
        <w:t>.</w:t>
      </w:r>
      <w:r>
        <w:rPr>
          <w:rFonts w:cstheme="minorHAnsi"/>
          <w:szCs w:val="22"/>
        </w:rPr>
        <w:t xml:space="preserve">  </w:t>
      </w:r>
    </w:p>
    <w:p w14:paraId="44713B57" w14:textId="77777777" w:rsidR="005A0E53" w:rsidRPr="00500C4E" w:rsidRDefault="005A0E53" w:rsidP="005A0E53">
      <w:pPr>
        <w:pStyle w:val="Heading2"/>
        <w:rPr>
          <w:rFonts w:asciiTheme="minorHAnsi" w:hAnsiTheme="minorHAnsi" w:cstheme="minorHAnsi"/>
        </w:rPr>
      </w:pPr>
      <w:bookmarkStart w:id="20" w:name="_Toc214003098"/>
      <w:r w:rsidRPr="00500C4E">
        <w:rPr>
          <w:rFonts w:asciiTheme="minorHAnsi" w:hAnsiTheme="minorHAnsi" w:cstheme="minorHAnsi"/>
        </w:rPr>
        <w:t>4.2 Measure Case Cost</w:t>
      </w:r>
    </w:p>
    <w:p w14:paraId="08ABEDFD" w14:textId="62C9EB0D" w:rsidR="00B64DD9" w:rsidRPr="0020656E" w:rsidRDefault="00B64DD9" w:rsidP="00B64DD9">
      <w:pPr>
        <w:rPr>
          <w:rFonts w:cstheme="minorHAnsi"/>
          <w:szCs w:val="22"/>
        </w:rPr>
      </w:pPr>
      <w:r w:rsidRPr="0020656E">
        <w:rPr>
          <w:rFonts w:cstheme="minorHAnsi"/>
          <w:szCs w:val="22"/>
        </w:rPr>
        <w:t>The measure case cost</w:t>
      </w:r>
      <w:r w:rsidR="004E59E0">
        <w:rPr>
          <w:rFonts w:cstheme="minorHAnsi"/>
          <w:szCs w:val="22"/>
        </w:rPr>
        <w:t xml:space="preserve"> is a result from online retailers. </w:t>
      </w:r>
      <w:r w:rsidR="0020656E" w:rsidRPr="00AE46A0">
        <w:rPr>
          <w:rFonts w:cstheme="minorHAnsi"/>
          <w:szCs w:val="22"/>
        </w:rPr>
        <w:t>Material cost was $12</w:t>
      </w:r>
      <w:r w:rsidR="000B1742">
        <w:rPr>
          <w:rFonts w:cstheme="minorHAnsi"/>
          <w:szCs w:val="22"/>
        </w:rPr>
        <w:t>3.25</w:t>
      </w:r>
      <w:r w:rsidR="0020656E" w:rsidRPr="00AE46A0">
        <w:rPr>
          <w:rFonts w:cstheme="minorHAnsi"/>
          <w:szCs w:val="22"/>
        </w:rPr>
        <w:t xml:space="preserve">, while labor </w:t>
      </w:r>
      <w:r w:rsidR="0020656E" w:rsidRPr="005513CE">
        <w:rPr>
          <w:rFonts w:cstheme="minorHAnsi"/>
          <w:szCs w:val="22"/>
        </w:rPr>
        <w:t>of</w:t>
      </w:r>
      <w:r w:rsidR="0020656E" w:rsidRPr="00AE46A0">
        <w:rPr>
          <w:rFonts w:cstheme="minorHAnsi"/>
          <w:szCs w:val="22"/>
        </w:rPr>
        <w:t xml:space="preserve"> 1/2 hour</w:t>
      </w:r>
      <w:r w:rsidR="00D41EFF" w:rsidRPr="005513CE">
        <w:rPr>
          <w:rFonts w:cstheme="minorHAnsi"/>
          <w:szCs w:val="22"/>
        </w:rPr>
        <w:t xml:space="preserve"> (DEER READI Tool v.2.4.7)</w:t>
      </w:r>
      <w:r w:rsidR="0020656E" w:rsidRPr="00AE46A0">
        <w:rPr>
          <w:rFonts w:cstheme="minorHAnsi"/>
          <w:szCs w:val="22"/>
        </w:rPr>
        <w:t xml:space="preserve"> was $3</w:t>
      </w:r>
      <w:r w:rsidR="00D41EFF" w:rsidRPr="005513CE">
        <w:rPr>
          <w:rFonts w:cstheme="minorHAnsi"/>
          <w:szCs w:val="22"/>
        </w:rPr>
        <w:t>3.94</w:t>
      </w:r>
      <w:r w:rsidR="0020656E" w:rsidRPr="005513CE">
        <w:rPr>
          <w:rFonts w:cstheme="minorHAnsi"/>
          <w:szCs w:val="22"/>
        </w:rPr>
        <w:t>, as a result, the full measure cost was $</w:t>
      </w:r>
      <w:r w:rsidR="000B1742">
        <w:rPr>
          <w:rFonts w:cstheme="minorHAnsi"/>
          <w:szCs w:val="22"/>
        </w:rPr>
        <w:t>157.19</w:t>
      </w:r>
      <w:r w:rsidR="0020656E" w:rsidRPr="00AE46A0">
        <w:rPr>
          <w:rFonts w:cstheme="minorHAnsi"/>
          <w:szCs w:val="22"/>
        </w:rPr>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703EF841" w14:textId="4E584C50" w:rsidR="00B64DD9" w:rsidRPr="005A0E53" w:rsidRDefault="00B64DD9" w:rsidP="00B64DD9">
      <w:pPr>
        <w:pStyle w:val="Heading3"/>
        <w:rPr>
          <w:rFonts w:asciiTheme="minorHAnsi" w:hAnsiTheme="minorHAnsi"/>
        </w:rPr>
      </w:pPr>
      <w:r>
        <w:rPr>
          <w:rFonts w:asciiTheme="minorHAnsi" w:hAnsiTheme="minorHAnsi"/>
        </w:rPr>
        <w:t>4.3.1 Full</w:t>
      </w:r>
      <w:r w:rsidRPr="005A0E53">
        <w:rPr>
          <w:rFonts w:asciiTheme="minorHAnsi" w:hAnsiTheme="minorHAnsi"/>
        </w:rPr>
        <w:t xml:space="preserve"> Measure Cost</w:t>
      </w:r>
    </w:p>
    <w:p w14:paraId="3AC6D60B" w14:textId="06952265" w:rsidR="00B64DD9" w:rsidRPr="004E59E0" w:rsidRDefault="00B64DD9" w:rsidP="00B64DD9">
      <w:pPr>
        <w:rPr>
          <w:rFonts w:cstheme="minorHAnsi"/>
          <w:szCs w:val="22"/>
        </w:rPr>
      </w:pPr>
      <w:r w:rsidRPr="0020656E">
        <w:rPr>
          <w:rFonts w:cstheme="minorHAnsi"/>
          <w:szCs w:val="22"/>
        </w:rPr>
        <w:t>For REA measures, the full measure cost is equal to the incremental costs. Incremental costs are described in Section 4.2.</w:t>
      </w:r>
    </w:p>
    <w:p w14:paraId="655A52D7" w14:textId="77777777" w:rsidR="00B64DD9" w:rsidRPr="00B64DD9" w:rsidRDefault="00B64DD9" w:rsidP="00B64DD9"/>
    <w:p w14:paraId="0402FB1A" w14:textId="437396B1" w:rsidR="00A80270" w:rsidRPr="00920905" w:rsidRDefault="004673A2" w:rsidP="00DA5082">
      <w:pPr>
        <w:pStyle w:val="Caption"/>
      </w:pPr>
      <w:r>
        <w:t xml:space="preserve">Full and </w:t>
      </w:r>
      <w:r w:rsidR="006B0F11" w:rsidRPr="00920905">
        <w:t xml:space="preserve">Incremental </w:t>
      </w:r>
      <w:r>
        <w:t>Measure</w:t>
      </w:r>
      <w:r w:rsidR="006B0F11" w:rsidRPr="00920905">
        <w:t xml:space="preserve"> Cost </w:t>
      </w:r>
      <w:r w:rsidR="00FF73B4">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4468E4CF"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7FFD5E9" w14:textId="77777777" w:rsidR="00332573" w:rsidRPr="00920905" w:rsidRDefault="00332573" w:rsidP="00920905">
      <w:pPr>
        <w:rPr>
          <w:sz w:val="20"/>
          <w:szCs w:val="20"/>
        </w:rPr>
      </w:pPr>
    </w:p>
    <w:p w14:paraId="0AF3F83F" w14:textId="2FBD05EE" w:rsidR="00FF73B4" w:rsidRDefault="00931E45" w:rsidP="00DA5082">
      <w:pPr>
        <w:pStyle w:val="Caption"/>
        <w:rPr>
          <w:b w:val="0"/>
        </w:rPr>
      </w:pPr>
      <w:r>
        <w:t xml:space="preserve">Full and </w:t>
      </w:r>
      <w:r w:rsidR="00FF73B4" w:rsidRPr="00DE77D0">
        <w:t>Incremental Cost</w:t>
      </w:r>
      <w:r w:rsidR="00FF73B4">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lastRenderedPageBreak/>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64DD9" w:rsidRPr="00500C4E" w14:paraId="31204A9D" w14:textId="77777777" w:rsidTr="002448DA">
        <w:tc>
          <w:tcPr>
            <w:tcW w:w="587" w:type="pct"/>
            <w:vAlign w:val="center"/>
          </w:tcPr>
          <w:p w14:paraId="20624498" w14:textId="4EDDFEF0" w:rsidR="00B64DD9" w:rsidRPr="00920905" w:rsidRDefault="00B64DD9" w:rsidP="00B64DD9">
            <w:pPr>
              <w:rPr>
                <w:rFonts w:cstheme="minorHAnsi"/>
                <w:color w:val="FF0000"/>
                <w:szCs w:val="20"/>
              </w:rPr>
            </w:pPr>
            <w:r w:rsidRPr="00D14123">
              <w:rPr>
                <w:rFonts w:cstheme="minorHAnsi"/>
                <w:szCs w:val="20"/>
              </w:rPr>
              <w:t>RF-16925</w:t>
            </w:r>
          </w:p>
        </w:tc>
        <w:tc>
          <w:tcPr>
            <w:tcW w:w="618" w:type="pct"/>
          </w:tcPr>
          <w:p w14:paraId="1B8D4FEE" w14:textId="3E51C586" w:rsidR="00B64DD9" w:rsidRPr="00B64DD9" w:rsidRDefault="00B64DD9" w:rsidP="00B64DD9">
            <w:pPr>
              <w:rPr>
                <w:rFonts w:cstheme="minorHAnsi"/>
                <w:szCs w:val="20"/>
              </w:rPr>
            </w:pPr>
            <w:r w:rsidRPr="00B64DD9">
              <w:rPr>
                <w:rFonts w:cstheme="minorHAnsi"/>
                <w:szCs w:val="20"/>
              </w:rPr>
              <w:t>REA</w:t>
            </w:r>
          </w:p>
        </w:tc>
        <w:tc>
          <w:tcPr>
            <w:tcW w:w="1266" w:type="pct"/>
            <w:vAlign w:val="center"/>
          </w:tcPr>
          <w:p w14:paraId="17400ED7" w14:textId="01994F03" w:rsidR="00B64DD9" w:rsidRPr="00920905" w:rsidRDefault="00B64DD9" w:rsidP="00B64DD9">
            <w:pPr>
              <w:rPr>
                <w:rFonts w:cstheme="minorHAnsi"/>
                <w:color w:val="FF0000"/>
                <w:szCs w:val="20"/>
              </w:rPr>
            </w:pPr>
            <w:r>
              <w:rPr>
                <w:rFonts w:cstheme="minorHAnsi"/>
                <w:szCs w:val="20"/>
              </w:rPr>
              <w:t>$15</w:t>
            </w:r>
            <w:r w:rsidR="00295C07">
              <w:rPr>
                <w:rFonts w:cstheme="minorHAnsi"/>
                <w:szCs w:val="20"/>
              </w:rPr>
              <w:t>7</w:t>
            </w:r>
            <w:r w:rsidR="005513CE">
              <w:rPr>
                <w:rFonts w:cstheme="minorHAnsi"/>
                <w:szCs w:val="20"/>
              </w:rPr>
              <w:t>.</w:t>
            </w:r>
            <w:r w:rsidR="000B1742">
              <w:rPr>
                <w:rFonts w:cstheme="minorHAnsi"/>
                <w:szCs w:val="20"/>
              </w:rPr>
              <w:t>19</w:t>
            </w:r>
          </w:p>
        </w:tc>
        <w:tc>
          <w:tcPr>
            <w:tcW w:w="1225" w:type="pct"/>
            <w:vAlign w:val="center"/>
          </w:tcPr>
          <w:p w14:paraId="0F861C7C" w14:textId="7178C781" w:rsidR="00B64DD9" w:rsidRPr="00920905" w:rsidRDefault="00B64DD9">
            <w:pPr>
              <w:rPr>
                <w:rFonts w:cstheme="minorHAnsi"/>
                <w:color w:val="FF0000"/>
                <w:szCs w:val="20"/>
              </w:rPr>
            </w:pPr>
            <w:r>
              <w:rPr>
                <w:rFonts w:cstheme="minorHAnsi"/>
                <w:szCs w:val="20"/>
              </w:rPr>
              <w:t>$15</w:t>
            </w:r>
            <w:r w:rsidR="000B1742">
              <w:rPr>
                <w:rFonts w:cstheme="minorHAnsi"/>
                <w:szCs w:val="20"/>
              </w:rPr>
              <w:t>7.19</w:t>
            </w:r>
          </w:p>
        </w:tc>
        <w:tc>
          <w:tcPr>
            <w:tcW w:w="1304" w:type="pct"/>
          </w:tcPr>
          <w:p w14:paraId="26FF7460" w14:textId="418AA084" w:rsidR="00B64DD9" w:rsidRPr="00920905" w:rsidRDefault="00B64DD9" w:rsidP="00B64DD9">
            <w:pPr>
              <w:rPr>
                <w:rFonts w:cstheme="minorHAnsi"/>
                <w:color w:val="FF0000"/>
                <w:szCs w:val="20"/>
              </w:rPr>
            </w:pPr>
          </w:p>
        </w:tc>
      </w:tr>
      <w:tr w:rsidR="00B64DD9" w:rsidRPr="00500C4E" w14:paraId="64E9A8E4" w14:textId="77777777" w:rsidTr="002448DA">
        <w:tc>
          <w:tcPr>
            <w:tcW w:w="587" w:type="pct"/>
            <w:vAlign w:val="center"/>
          </w:tcPr>
          <w:p w14:paraId="73C0EEF5" w14:textId="1082181C" w:rsidR="00B64DD9" w:rsidRPr="00920905" w:rsidRDefault="00B64DD9" w:rsidP="00B64DD9">
            <w:pPr>
              <w:rPr>
                <w:rFonts w:cstheme="minorHAnsi"/>
                <w:color w:val="FF0000"/>
                <w:szCs w:val="20"/>
              </w:rPr>
            </w:pPr>
            <w:r w:rsidRPr="00D14123">
              <w:rPr>
                <w:rFonts w:cstheme="minorHAnsi"/>
                <w:szCs w:val="20"/>
              </w:rPr>
              <w:t>RF-32156</w:t>
            </w:r>
          </w:p>
        </w:tc>
        <w:tc>
          <w:tcPr>
            <w:tcW w:w="618" w:type="pct"/>
          </w:tcPr>
          <w:p w14:paraId="3EDB244E" w14:textId="3852310E" w:rsidR="00B64DD9" w:rsidRPr="00B64DD9" w:rsidRDefault="00B64DD9" w:rsidP="00B64DD9">
            <w:pPr>
              <w:rPr>
                <w:rFonts w:cstheme="minorHAnsi"/>
                <w:szCs w:val="20"/>
              </w:rPr>
            </w:pPr>
            <w:r w:rsidRPr="00B64DD9">
              <w:rPr>
                <w:rFonts w:cstheme="minorHAnsi"/>
                <w:szCs w:val="20"/>
              </w:rPr>
              <w:t>REA</w:t>
            </w:r>
          </w:p>
        </w:tc>
        <w:tc>
          <w:tcPr>
            <w:tcW w:w="1266" w:type="pct"/>
            <w:vAlign w:val="center"/>
          </w:tcPr>
          <w:p w14:paraId="780C91CF" w14:textId="7E3CC8AF" w:rsidR="00B64DD9" w:rsidRPr="00920905" w:rsidRDefault="00B64DD9" w:rsidP="00B64DD9">
            <w:pPr>
              <w:rPr>
                <w:rFonts w:cstheme="minorHAnsi"/>
                <w:color w:val="FF0000"/>
                <w:szCs w:val="20"/>
              </w:rPr>
            </w:pPr>
            <w:r>
              <w:rPr>
                <w:rFonts w:cstheme="minorHAnsi"/>
                <w:szCs w:val="20"/>
              </w:rPr>
              <w:t>$15</w:t>
            </w:r>
            <w:r w:rsidR="000B1742">
              <w:rPr>
                <w:rFonts w:cstheme="minorHAnsi"/>
                <w:szCs w:val="20"/>
              </w:rPr>
              <w:t>7.19</w:t>
            </w:r>
          </w:p>
        </w:tc>
        <w:tc>
          <w:tcPr>
            <w:tcW w:w="1225" w:type="pct"/>
            <w:vAlign w:val="center"/>
          </w:tcPr>
          <w:p w14:paraId="1542AB5C" w14:textId="7CEBCE84" w:rsidR="00B64DD9" w:rsidRPr="00920905" w:rsidRDefault="00B64DD9">
            <w:pPr>
              <w:rPr>
                <w:rFonts w:cstheme="minorHAnsi"/>
                <w:color w:val="FF0000"/>
                <w:szCs w:val="20"/>
              </w:rPr>
            </w:pPr>
            <w:r>
              <w:rPr>
                <w:rFonts w:cstheme="minorHAnsi"/>
                <w:szCs w:val="20"/>
              </w:rPr>
              <w:t>$15</w:t>
            </w:r>
            <w:r w:rsidR="000B1742">
              <w:rPr>
                <w:rFonts w:cstheme="minorHAnsi"/>
                <w:szCs w:val="20"/>
              </w:rPr>
              <w:t>7.19</w:t>
            </w:r>
          </w:p>
        </w:tc>
        <w:tc>
          <w:tcPr>
            <w:tcW w:w="1304" w:type="pct"/>
          </w:tcPr>
          <w:p w14:paraId="39B4B752" w14:textId="7D5EA259" w:rsidR="00B64DD9" w:rsidRPr="00920905" w:rsidRDefault="00B64DD9" w:rsidP="00B64DD9">
            <w:pPr>
              <w:rPr>
                <w:rFonts w:cstheme="minorHAnsi"/>
                <w:color w:val="FF0000"/>
                <w:szCs w:val="20"/>
              </w:rPr>
            </w:pPr>
          </w:p>
        </w:tc>
      </w:tr>
    </w:tbl>
    <w:p w14:paraId="37E9FBDB" w14:textId="754E7BBE" w:rsidR="00E16609" w:rsidRPr="00920905"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Default="00E16609" w:rsidP="00E16609">
      <w:pPr>
        <w:pStyle w:val="Heading1"/>
        <w:rPr>
          <w:rFonts w:cstheme="minorHAnsi"/>
        </w:rPr>
      </w:pPr>
      <w:r w:rsidRPr="00500C4E">
        <w:rPr>
          <w:rFonts w:cstheme="minorHAnsi"/>
        </w:rPr>
        <w:lastRenderedPageBreak/>
        <w:t>Attachments</w:t>
      </w:r>
    </w:p>
    <w:p w14:paraId="2F9C75E2" w14:textId="77777777" w:rsidR="005D2C4F" w:rsidRPr="00437038" w:rsidRDefault="005D2C4F" w:rsidP="00AE46A0"/>
    <w:p w14:paraId="5938EB5F" w14:textId="44D1884D" w:rsidR="00010E8D" w:rsidRDefault="00853083" w:rsidP="00853083">
      <w:pPr>
        <w:pStyle w:val="Reminders"/>
        <w:numPr>
          <w:ilvl w:val="0"/>
          <w:numId w:val="40"/>
        </w:numPr>
        <w:rPr>
          <w:rFonts w:asciiTheme="minorHAnsi" w:hAnsiTheme="minorHAnsi" w:cstheme="minorHAnsi"/>
          <w:i w:val="0"/>
          <w:color w:val="auto"/>
        </w:rPr>
      </w:pPr>
      <w:r w:rsidRPr="00853083">
        <w:rPr>
          <w:rFonts w:asciiTheme="minorHAnsi" w:hAnsiTheme="minorHAnsi" w:cstheme="minorHAnsi"/>
          <w:i w:val="0"/>
          <w:color w:val="auto"/>
        </w:rPr>
        <w:t>SCE17RN024.0 A1 - Calculation Template_Final.xlsm</w:t>
      </w:r>
    </w:p>
    <w:p w14:paraId="6150B045" w14:textId="401DB753" w:rsidR="00010E8D" w:rsidRDefault="00010E8D" w:rsidP="00010E8D">
      <w:pPr>
        <w:pStyle w:val="Reminders"/>
        <w:ind w:left="1080"/>
        <w:rPr>
          <w:rFonts w:asciiTheme="minorHAnsi" w:hAnsiTheme="minorHAnsi" w:cstheme="minorHAnsi"/>
          <w:i w:val="0"/>
          <w:color w:val="auto"/>
        </w:rPr>
      </w:pPr>
    </w:p>
    <w:p w14:paraId="324A84CF" w14:textId="1D3D328E" w:rsidR="00010E8D" w:rsidRDefault="00853083" w:rsidP="00853083">
      <w:pPr>
        <w:pStyle w:val="Reminders"/>
        <w:numPr>
          <w:ilvl w:val="0"/>
          <w:numId w:val="40"/>
        </w:numPr>
        <w:rPr>
          <w:rFonts w:asciiTheme="minorHAnsi" w:hAnsiTheme="minorHAnsi" w:cstheme="minorHAnsi"/>
          <w:i w:val="0"/>
          <w:color w:val="auto"/>
        </w:rPr>
      </w:pPr>
      <w:bookmarkStart w:id="22" w:name="_MON_1395658543"/>
      <w:bookmarkStart w:id="23" w:name="_MON_1395659700"/>
      <w:bookmarkStart w:id="24" w:name="_MON_1401799130"/>
      <w:bookmarkStart w:id="25" w:name="_MON_1401799596"/>
      <w:bookmarkStart w:id="26" w:name="_MON_1399293534"/>
      <w:bookmarkStart w:id="27" w:name="_MON_1396340490"/>
      <w:bookmarkStart w:id="28" w:name="_MON_1396338030"/>
      <w:bookmarkStart w:id="29" w:name="_MON_1454920768"/>
      <w:bookmarkEnd w:id="22"/>
      <w:bookmarkEnd w:id="23"/>
      <w:bookmarkEnd w:id="24"/>
      <w:bookmarkEnd w:id="25"/>
      <w:bookmarkEnd w:id="26"/>
      <w:bookmarkEnd w:id="27"/>
      <w:bookmarkEnd w:id="28"/>
      <w:bookmarkEnd w:id="29"/>
      <w:r w:rsidRPr="00853083">
        <w:rPr>
          <w:rFonts w:asciiTheme="minorHAnsi" w:hAnsiTheme="minorHAnsi" w:cstheme="minorHAnsi"/>
          <w:i w:val="0"/>
          <w:color w:val="auto"/>
        </w:rPr>
        <w:t>SCE17RN024.0 A2 - Summary of eQuest Results.xlsx</w:t>
      </w:r>
    </w:p>
    <w:p w14:paraId="22AA405E" w14:textId="77777777" w:rsidR="00010E8D" w:rsidRDefault="00010E8D" w:rsidP="009B480A">
      <w:pPr>
        <w:pStyle w:val="Reminders"/>
        <w:rPr>
          <w:rFonts w:asciiTheme="minorHAnsi" w:hAnsiTheme="minorHAnsi" w:cstheme="minorHAnsi"/>
          <w:i w:val="0"/>
          <w:color w:val="auto"/>
        </w:rPr>
      </w:pPr>
    </w:p>
    <w:p w14:paraId="7706F28C" w14:textId="126D46CC" w:rsidR="00070899" w:rsidRPr="00853083" w:rsidRDefault="00853083" w:rsidP="00AE46A0">
      <w:pPr>
        <w:pStyle w:val="Reminders"/>
        <w:numPr>
          <w:ilvl w:val="0"/>
          <w:numId w:val="40"/>
        </w:numPr>
        <w:rPr>
          <w:rFonts w:asciiTheme="minorHAnsi" w:hAnsiTheme="minorHAnsi" w:cstheme="minorHAnsi"/>
          <w:i w:val="0"/>
          <w:color w:val="auto"/>
        </w:rPr>
      </w:pPr>
      <w:r w:rsidRPr="00853083">
        <w:rPr>
          <w:rFonts w:asciiTheme="minorHAnsi" w:hAnsiTheme="minorHAnsi" w:cstheme="minorHAnsi"/>
          <w:i w:val="0"/>
          <w:color w:val="auto"/>
        </w:rPr>
        <w:t>SCE17RN024.0 A3 - eQuest Files.zip</w:t>
      </w:r>
    </w:p>
    <w:p w14:paraId="78338510" w14:textId="77777777" w:rsidR="00D53950" w:rsidRPr="00AE46A0" w:rsidRDefault="00D53950" w:rsidP="00AE46A0">
      <w:pPr>
        <w:rPr>
          <w:rFonts w:cstheme="minorHAnsi"/>
          <w:i/>
        </w:rPr>
      </w:pPr>
    </w:p>
    <w:p w14:paraId="39B151E5" w14:textId="1DBCA59C" w:rsidR="00070899" w:rsidRPr="008462AA" w:rsidRDefault="00853083" w:rsidP="00853083">
      <w:pPr>
        <w:pStyle w:val="Reminders"/>
        <w:numPr>
          <w:ilvl w:val="0"/>
          <w:numId w:val="40"/>
        </w:numPr>
        <w:rPr>
          <w:rFonts w:asciiTheme="minorHAnsi" w:hAnsiTheme="minorHAnsi" w:cstheme="minorHAnsi"/>
          <w:i w:val="0"/>
          <w:color w:val="auto"/>
        </w:rPr>
      </w:pPr>
      <w:r w:rsidRPr="00853083">
        <w:rPr>
          <w:rFonts w:asciiTheme="minorHAnsi" w:hAnsiTheme="minorHAnsi" w:cstheme="minorHAnsi"/>
          <w:i w:val="0"/>
          <w:color w:val="auto"/>
        </w:rPr>
        <w:t>SCE17RN024.0 A4 - Cost Calculation Template.xlsx</w:t>
      </w: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02603937" w14:textId="3E878556" w:rsidR="00090C25" w:rsidRDefault="00853083" w:rsidP="00853083">
      <w:pPr>
        <w:pStyle w:val="ListParagraph"/>
        <w:numPr>
          <w:ilvl w:val="0"/>
          <w:numId w:val="46"/>
        </w:numPr>
      </w:pPr>
      <w:r w:rsidRPr="00853083">
        <w:t>References_12122016_100741.xlsx</w:t>
      </w:r>
      <w:bookmarkStart w:id="30" w:name="_GoBack"/>
      <w:bookmarkEnd w:id="30"/>
    </w:p>
    <w:p w14:paraId="26171D5E" w14:textId="77777777" w:rsidR="00136BAD" w:rsidRPr="00090C25" w:rsidRDefault="00136BAD" w:rsidP="00090C25"/>
    <w:p w14:paraId="4786DAC3" w14:textId="75B57530" w:rsidR="00090C25" w:rsidRDefault="00090C25" w:rsidP="00090C25">
      <w:pPr>
        <w:rPr>
          <w:rFonts w:cstheme="minorHAnsi"/>
          <w:szCs w:val="22"/>
        </w:rPr>
      </w:pPr>
      <w:r>
        <w:rPr>
          <w:rFonts w:cstheme="minorHAnsi"/>
          <w:szCs w:val="22"/>
        </w:rPr>
        <w:t>[386]</w:t>
      </w:r>
    </w:p>
    <w:p w14:paraId="5FCE5D1D" w14:textId="0AD703B2" w:rsidR="00136BAD" w:rsidRDefault="00136BAD" w:rsidP="00090C25">
      <w:pPr>
        <w:rPr>
          <w:rFonts w:cstheme="minorHAnsi"/>
          <w:szCs w:val="22"/>
        </w:rPr>
      </w:pPr>
      <w:r>
        <w:rPr>
          <w:rFonts w:cstheme="minorHAnsi"/>
          <w:szCs w:val="22"/>
        </w:rPr>
        <w:t>[215]</w:t>
      </w:r>
    </w:p>
    <w:p w14:paraId="4D5DB51D" w14:textId="1EF9EAFC" w:rsidR="00136BAD" w:rsidRDefault="00136BAD" w:rsidP="00090C25">
      <w:pPr>
        <w:rPr>
          <w:rFonts w:cstheme="minorHAnsi"/>
          <w:szCs w:val="22"/>
        </w:rPr>
      </w:pPr>
      <w:r>
        <w:rPr>
          <w:rFonts w:cstheme="minorHAnsi"/>
          <w:szCs w:val="22"/>
        </w:rPr>
        <w:t>[422]</w:t>
      </w:r>
    </w:p>
    <w:p w14:paraId="3DDEEF70" w14:textId="67D9B566" w:rsidR="00480E7B" w:rsidRPr="00920905" w:rsidRDefault="00480E7B">
      <w:pPr>
        <w:rPr>
          <w:color w:val="FF0000"/>
        </w:rPr>
      </w:pPr>
    </w:p>
    <w:sectPr w:rsidR="00480E7B" w:rsidRPr="00920905" w:rsidSect="00E87C8F">
      <w:footerReference w:type="default" r:id="rId11"/>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338990" w14:textId="77777777" w:rsidR="00C025B2" w:rsidRDefault="00C025B2" w:rsidP="00447D6E">
      <w:r>
        <w:separator/>
      </w:r>
    </w:p>
    <w:p w14:paraId="4D3124B1" w14:textId="77777777" w:rsidR="00C025B2" w:rsidRDefault="00C025B2"/>
  </w:endnote>
  <w:endnote w:type="continuationSeparator" w:id="0">
    <w:p w14:paraId="0E3CAC9A" w14:textId="77777777" w:rsidR="00C025B2" w:rsidRDefault="00C025B2" w:rsidP="00447D6E">
      <w:r>
        <w:continuationSeparator/>
      </w:r>
    </w:p>
    <w:p w14:paraId="48B63C3A" w14:textId="77777777" w:rsidR="00C025B2" w:rsidRDefault="00C02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054013AE" w:rsidR="00C025B2" w:rsidRDefault="00853083"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1-04T00:00:00Z">
          <w:dateFormat w:val="MMMM d, yyyy"/>
          <w:lid w:val="en-US"/>
          <w:storeMappedDataAs w:val="dateTime"/>
          <w:calendar w:val="gregorian"/>
        </w:date>
      </w:sdtPr>
      <w:sdtEndPr/>
      <w:sdtContent>
        <w:r w:rsidR="00C025B2">
          <w:rPr>
            <w:rFonts w:cstheme="minorHAnsi"/>
            <w:b/>
            <w:sz w:val="36"/>
            <w:szCs w:val="36"/>
          </w:rPr>
          <w:t>November 4, 2016</w:t>
        </w:r>
      </w:sdtContent>
    </w:sdt>
  </w:p>
  <w:p w14:paraId="650DB54B" w14:textId="670C7D5C" w:rsidR="00C025B2" w:rsidRPr="009500DC" w:rsidRDefault="00C025B2"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0427C70D" w:rsidR="00C025B2" w:rsidRPr="009500DC" w:rsidRDefault="0085308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C025B2">
          <w:rPr>
            <w:rFonts w:cstheme="minorHAnsi"/>
            <w:b/>
            <w:sz w:val="20"/>
            <w:szCs w:val="20"/>
          </w:rPr>
          <w:t>SCE17RN024</w:t>
        </w:r>
      </w:sdtContent>
    </w:sdt>
    <w:r w:rsidR="00C025B2">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C025B2">
          <w:rPr>
            <w:rFonts w:cstheme="minorHAnsi"/>
            <w:b/>
            <w:sz w:val="20"/>
            <w:szCs w:val="20"/>
          </w:rPr>
          <w:t>Revision 0</w:t>
        </w:r>
      </w:sdtContent>
    </w:sdt>
    <w:r w:rsidR="00C025B2" w:rsidRPr="009500DC">
      <w:rPr>
        <w:rFonts w:cstheme="minorHAnsi"/>
        <w:b/>
        <w:sz w:val="20"/>
        <w:szCs w:val="20"/>
      </w:rPr>
      <w:tab/>
    </w:r>
    <w:r w:rsidR="00C025B2" w:rsidRPr="009500DC">
      <w:rPr>
        <w:rFonts w:cstheme="minorHAnsi"/>
        <w:b/>
        <w:sz w:val="20"/>
        <w:szCs w:val="20"/>
      </w:rPr>
      <w:fldChar w:fldCharType="begin"/>
    </w:r>
    <w:r w:rsidR="00C025B2" w:rsidRPr="009500DC">
      <w:rPr>
        <w:rFonts w:cstheme="minorHAnsi"/>
        <w:b/>
        <w:sz w:val="20"/>
        <w:szCs w:val="20"/>
      </w:rPr>
      <w:instrText xml:space="preserve"> PAGE   \* MERGEFORMAT </w:instrText>
    </w:r>
    <w:r w:rsidR="00C025B2" w:rsidRPr="009500DC">
      <w:rPr>
        <w:rFonts w:cstheme="minorHAnsi"/>
        <w:b/>
        <w:sz w:val="20"/>
        <w:szCs w:val="20"/>
      </w:rPr>
      <w:fldChar w:fldCharType="separate"/>
    </w:r>
    <w:r>
      <w:rPr>
        <w:rFonts w:cstheme="minorHAnsi"/>
        <w:b/>
        <w:noProof/>
        <w:sz w:val="20"/>
        <w:szCs w:val="20"/>
      </w:rPr>
      <w:t>12</w:t>
    </w:r>
    <w:r w:rsidR="00C025B2" w:rsidRPr="009500DC">
      <w:rPr>
        <w:rFonts w:cstheme="minorHAnsi"/>
        <w:b/>
        <w:noProof/>
        <w:sz w:val="20"/>
        <w:szCs w:val="20"/>
      </w:rPr>
      <w:fldChar w:fldCharType="end"/>
    </w:r>
    <w:r w:rsidR="00C025B2"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04T00:00:00Z">
          <w:dateFormat w:val="MMMM d, yyyy"/>
          <w:lid w:val="en-US"/>
          <w:storeMappedDataAs w:val="dateTime"/>
          <w:calendar w:val="gregorian"/>
        </w:date>
      </w:sdtPr>
      <w:sdtEndPr/>
      <w:sdtContent>
        <w:r w:rsidR="00C025B2">
          <w:rPr>
            <w:rFonts w:cstheme="minorHAnsi"/>
            <w:b/>
            <w:sz w:val="20"/>
            <w:szCs w:val="20"/>
          </w:rPr>
          <w:t>November 4, 2016</w:t>
        </w:r>
      </w:sdtContent>
    </w:sdt>
  </w:p>
  <w:p w14:paraId="43C07EA5" w14:textId="544E4323" w:rsidR="00C025B2" w:rsidRPr="009500DC" w:rsidRDefault="0085308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C025B2">
          <w:rPr>
            <w:rFonts w:cstheme="minorHAnsi"/>
            <w:b/>
            <w:sz w:val="20"/>
            <w:szCs w:val="20"/>
          </w:rPr>
          <w:t>Southern California Edison</w:t>
        </w:r>
      </w:sdtContent>
    </w:sdt>
  </w:p>
  <w:p w14:paraId="4AC7586E" w14:textId="77777777" w:rsidR="00C025B2" w:rsidRDefault="00C025B2"/>
  <w:p w14:paraId="5C9861A8" w14:textId="77777777" w:rsidR="00C025B2" w:rsidRDefault="00C025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960C94" w14:textId="77777777" w:rsidR="00C025B2" w:rsidRDefault="00C025B2" w:rsidP="00447D6E">
      <w:r>
        <w:separator/>
      </w:r>
    </w:p>
    <w:p w14:paraId="086D3DEB" w14:textId="77777777" w:rsidR="00C025B2" w:rsidRDefault="00C025B2"/>
  </w:footnote>
  <w:footnote w:type="continuationSeparator" w:id="0">
    <w:p w14:paraId="618C2191" w14:textId="77777777" w:rsidR="00C025B2" w:rsidRDefault="00C025B2" w:rsidP="00447D6E">
      <w:r>
        <w:continuationSeparator/>
      </w:r>
    </w:p>
    <w:p w14:paraId="57F0AFA3" w14:textId="77777777" w:rsidR="00C025B2" w:rsidRDefault="00C025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7A55F4"/>
    <w:multiLevelType w:val="hybridMultilevel"/>
    <w:tmpl w:val="6F06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F3B0D"/>
    <w:multiLevelType w:val="hybridMultilevel"/>
    <w:tmpl w:val="32821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3D0694"/>
    <w:multiLevelType w:val="hybridMultilevel"/>
    <w:tmpl w:val="F4C0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CF6EB0"/>
    <w:multiLevelType w:val="hybridMultilevel"/>
    <w:tmpl w:val="2D4E6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E41242"/>
    <w:multiLevelType w:val="hybridMultilevel"/>
    <w:tmpl w:val="20B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9C5279"/>
    <w:multiLevelType w:val="hybridMultilevel"/>
    <w:tmpl w:val="506EF6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2875A7"/>
    <w:multiLevelType w:val="hybridMultilevel"/>
    <w:tmpl w:val="DAEADAF6"/>
    <w:lvl w:ilvl="0" w:tplc="8B70C7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336504"/>
    <w:multiLevelType w:val="hybridMultilevel"/>
    <w:tmpl w:val="1FE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A270DE"/>
    <w:multiLevelType w:val="hybridMultilevel"/>
    <w:tmpl w:val="6AF49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ED2DED"/>
    <w:multiLevelType w:val="hybridMultilevel"/>
    <w:tmpl w:val="48680FA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num w:numId="1">
    <w:abstractNumId w:val="16"/>
  </w:num>
  <w:num w:numId="2">
    <w:abstractNumId w:val="20"/>
  </w:num>
  <w:num w:numId="3">
    <w:abstractNumId w:val="19"/>
  </w:num>
  <w:num w:numId="4">
    <w:abstractNumId w:val="16"/>
  </w:num>
  <w:num w:numId="5">
    <w:abstractNumId w:val="16"/>
  </w:num>
  <w:num w:numId="6">
    <w:abstractNumId w:val="2"/>
  </w:num>
  <w:num w:numId="7">
    <w:abstractNumId w:val="21"/>
  </w:num>
  <w:num w:numId="8">
    <w:abstractNumId w:val="18"/>
  </w:num>
  <w:num w:numId="9">
    <w:abstractNumId w:val="10"/>
  </w:num>
  <w:num w:numId="10">
    <w:abstractNumId w:val="5"/>
  </w:num>
  <w:num w:numId="11">
    <w:abstractNumId w:val="23"/>
  </w:num>
  <w:num w:numId="12">
    <w:abstractNumId w:val="15"/>
  </w:num>
  <w:num w:numId="13">
    <w:abstractNumId w:val="9"/>
  </w:num>
  <w:num w:numId="14">
    <w:abstractNumId w:val="37"/>
  </w:num>
  <w:num w:numId="15">
    <w:abstractNumId w:val="7"/>
  </w:num>
  <w:num w:numId="16">
    <w:abstractNumId w:val="11"/>
  </w:num>
  <w:num w:numId="17">
    <w:abstractNumId w:val="4"/>
  </w:num>
  <w:num w:numId="18">
    <w:abstractNumId w:val="0"/>
  </w:num>
  <w:num w:numId="19">
    <w:abstractNumId w:val="35"/>
  </w:num>
  <w:num w:numId="20">
    <w:abstractNumId w:val="3"/>
  </w:num>
  <w:num w:numId="21">
    <w:abstractNumId w:val="27"/>
  </w:num>
  <w:num w:numId="22">
    <w:abstractNumId w:val="28"/>
  </w:num>
  <w:num w:numId="23">
    <w:abstractNumId w:val="38"/>
  </w:num>
  <w:num w:numId="24">
    <w:abstractNumId w:val="34"/>
  </w:num>
  <w:num w:numId="25">
    <w:abstractNumId w:val="12"/>
  </w:num>
  <w:num w:numId="26">
    <w:abstractNumId w:val="14"/>
  </w:num>
  <w:num w:numId="27">
    <w:abstractNumId w:val="31"/>
  </w:num>
  <w:num w:numId="28">
    <w:abstractNumId w:val="13"/>
  </w:num>
  <w:num w:numId="29">
    <w:abstractNumId w:val="6"/>
  </w:num>
  <w:num w:numId="30">
    <w:abstractNumId w:val="1"/>
  </w:num>
  <w:num w:numId="31">
    <w:abstractNumId w:val="40"/>
  </w:num>
  <w:num w:numId="32">
    <w:abstractNumId w:val="25"/>
  </w:num>
  <w:num w:numId="33">
    <w:abstractNumId w:val="33"/>
  </w:num>
  <w:num w:numId="34">
    <w:abstractNumId w:val="8"/>
  </w:num>
  <w:num w:numId="35">
    <w:abstractNumId w:val="29"/>
  </w:num>
  <w:num w:numId="36">
    <w:abstractNumId w:val="39"/>
  </w:num>
  <w:num w:numId="37">
    <w:abstractNumId w:val="30"/>
  </w:num>
  <w:num w:numId="38">
    <w:abstractNumId w:val="41"/>
  </w:num>
  <w:num w:numId="39">
    <w:abstractNumId w:val="22"/>
  </w:num>
  <w:num w:numId="40">
    <w:abstractNumId w:val="36"/>
  </w:num>
  <w:num w:numId="41">
    <w:abstractNumId w:val="17"/>
  </w:num>
  <w:num w:numId="42">
    <w:abstractNumId w:val="24"/>
  </w:num>
  <w:num w:numId="43">
    <w:abstractNumId w:val="42"/>
  </w:num>
  <w:num w:numId="44">
    <w:abstractNumId w:val="3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0E8D"/>
    <w:rsid w:val="00011706"/>
    <w:rsid w:val="00013F71"/>
    <w:rsid w:val="000173BF"/>
    <w:rsid w:val="00024252"/>
    <w:rsid w:val="000245B5"/>
    <w:rsid w:val="00027183"/>
    <w:rsid w:val="00032AAA"/>
    <w:rsid w:val="00033EA1"/>
    <w:rsid w:val="00034BB7"/>
    <w:rsid w:val="0003746D"/>
    <w:rsid w:val="0004020F"/>
    <w:rsid w:val="000436CB"/>
    <w:rsid w:val="00052E17"/>
    <w:rsid w:val="00056947"/>
    <w:rsid w:val="00061A8E"/>
    <w:rsid w:val="00061ED3"/>
    <w:rsid w:val="00064CB3"/>
    <w:rsid w:val="00070899"/>
    <w:rsid w:val="00070BEE"/>
    <w:rsid w:val="00072040"/>
    <w:rsid w:val="00076DF4"/>
    <w:rsid w:val="00076F51"/>
    <w:rsid w:val="0008524C"/>
    <w:rsid w:val="00086F7F"/>
    <w:rsid w:val="0009074D"/>
    <w:rsid w:val="00090C25"/>
    <w:rsid w:val="0009592B"/>
    <w:rsid w:val="000968C6"/>
    <w:rsid w:val="000A63C9"/>
    <w:rsid w:val="000B1742"/>
    <w:rsid w:val="000B3765"/>
    <w:rsid w:val="000B655B"/>
    <w:rsid w:val="000B7E2A"/>
    <w:rsid w:val="000C0000"/>
    <w:rsid w:val="000C18CC"/>
    <w:rsid w:val="000C687D"/>
    <w:rsid w:val="000C7ED1"/>
    <w:rsid w:val="000D2459"/>
    <w:rsid w:val="000D789A"/>
    <w:rsid w:val="000E3505"/>
    <w:rsid w:val="000E4B5F"/>
    <w:rsid w:val="000E706D"/>
    <w:rsid w:val="000F130A"/>
    <w:rsid w:val="000F4FD8"/>
    <w:rsid w:val="00107242"/>
    <w:rsid w:val="00111CC5"/>
    <w:rsid w:val="001206F7"/>
    <w:rsid w:val="001236C1"/>
    <w:rsid w:val="00126163"/>
    <w:rsid w:val="00126EC1"/>
    <w:rsid w:val="00133EE8"/>
    <w:rsid w:val="00136BAD"/>
    <w:rsid w:val="00140B30"/>
    <w:rsid w:val="00147155"/>
    <w:rsid w:val="00153CB3"/>
    <w:rsid w:val="00154C3B"/>
    <w:rsid w:val="00160158"/>
    <w:rsid w:val="00163269"/>
    <w:rsid w:val="00165357"/>
    <w:rsid w:val="001722B7"/>
    <w:rsid w:val="001727D9"/>
    <w:rsid w:val="00172BC7"/>
    <w:rsid w:val="00174BB4"/>
    <w:rsid w:val="0017541E"/>
    <w:rsid w:val="00175D14"/>
    <w:rsid w:val="001811EE"/>
    <w:rsid w:val="00185AD4"/>
    <w:rsid w:val="001979AF"/>
    <w:rsid w:val="001A0EB4"/>
    <w:rsid w:val="001A1A86"/>
    <w:rsid w:val="001A1C49"/>
    <w:rsid w:val="001A5F62"/>
    <w:rsid w:val="001B015E"/>
    <w:rsid w:val="001B2301"/>
    <w:rsid w:val="001B618B"/>
    <w:rsid w:val="001C1338"/>
    <w:rsid w:val="001C33D5"/>
    <w:rsid w:val="001C4140"/>
    <w:rsid w:val="001C5A94"/>
    <w:rsid w:val="001D2317"/>
    <w:rsid w:val="001D3223"/>
    <w:rsid w:val="001D33EF"/>
    <w:rsid w:val="001D45B5"/>
    <w:rsid w:val="001D5AB3"/>
    <w:rsid w:val="001E004D"/>
    <w:rsid w:val="001E0519"/>
    <w:rsid w:val="001E0829"/>
    <w:rsid w:val="001E1320"/>
    <w:rsid w:val="001E556A"/>
    <w:rsid w:val="001F05CE"/>
    <w:rsid w:val="001F1905"/>
    <w:rsid w:val="001F4A65"/>
    <w:rsid w:val="00205C45"/>
    <w:rsid w:val="0020656E"/>
    <w:rsid w:val="0021035B"/>
    <w:rsid w:val="00211153"/>
    <w:rsid w:val="002167B4"/>
    <w:rsid w:val="002246AA"/>
    <w:rsid w:val="0023254A"/>
    <w:rsid w:val="002344FB"/>
    <w:rsid w:val="00236216"/>
    <w:rsid w:val="002405CD"/>
    <w:rsid w:val="00240B74"/>
    <w:rsid w:val="00243B62"/>
    <w:rsid w:val="002448DA"/>
    <w:rsid w:val="00245E24"/>
    <w:rsid w:val="0024675B"/>
    <w:rsid w:val="002469DD"/>
    <w:rsid w:val="00247180"/>
    <w:rsid w:val="002502BD"/>
    <w:rsid w:val="00252859"/>
    <w:rsid w:val="00254671"/>
    <w:rsid w:val="00257D36"/>
    <w:rsid w:val="00263C1C"/>
    <w:rsid w:val="00271415"/>
    <w:rsid w:val="00274FBE"/>
    <w:rsid w:val="002762E1"/>
    <w:rsid w:val="002811BC"/>
    <w:rsid w:val="00283DE8"/>
    <w:rsid w:val="00284B34"/>
    <w:rsid w:val="00285552"/>
    <w:rsid w:val="00285966"/>
    <w:rsid w:val="00285A0D"/>
    <w:rsid w:val="00290ED8"/>
    <w:rsid w:val="00293BAE"/>
    <w:rsid w:val="00295C07"/>
    <w:rsid w:val="002965C2"/>
    <w:rsid w:val="00296B49"/>
    <w:rsid w:val="002A03FC"/>
    <w:rsid w:val="002A10D7"/>
    <w:rsid w:val="002A1843"/>
    <w:rsid w:val="002A3D26"/>
    <w:rsid w:val="002A523E"/>
    <w:rsid w:val="002B137C"/>
    <w:rsid w:val="002B1ADF"/>
    <w:rsid w:val="002B502E"/>
    <w:rsid w:val="002B5398"/>
    <w:rsid w:val="002B657B"/>
    <w:rsid w:val="002C2853"/>
    <w:rsid w:val="002C444C"/>
    <w:rsid w:val="002C458F"/>
    <w:rsid w:val="002C6396"/>
    <w:rsid w:val="002C6C20"/>
    <w:rsid w:val="002C6C7A"/>
    <w:rsid w:val="002C7F78"/>
    <w:rsid w:val="002D5277"/>
    <w:rsid w:val="002D71FA"/>
    <w:rsid w:val="002D73AF"/>
    <w:rsid w:val="002E3D89"/>
    <w:rsid w:val="002E4FD9"/>
    <w:rsid w:val="002E5B58"/>
    <w:rsid w:val="002F1437"/>
    <w:rsid w:val="002F1DC7"/>
    <w:rsid w:val="002F3943"/>
    <w:rsid w:val="002F4E34"/>
    <w:rsid w:val="002F6A42"/>
    <w:rsid w:val="002F79E7"/>
    <w:rsid w:val="003003EC"/>
    <w:rsid w:val="003035E3"/>
    <w:rsid w:val="0030363A"/>
    <w:rsid w:val="003136DD"/>
    <w:rsid w:val="00317970"/>
    <w:rsid w:val="00317EB0"/>
    <w:rsid w:val="00331DCE"/>
    <w:rsid w:val="00332573"/>
    <w:rsid w:val="00332700"/>
    <w:rsid w:val="003358BD"/>
    <w:rsid w:val="00344E88"/>
    <w:rsid w:val="00345D80"/>
    <w:rsid w:val="003471D4"/>
    <w:rsid w:val="00350BF1"/>
    <w:rsid w:val="00353C49"/>
    <w:rsid w:val="003540B1"/>
    <w:rsid w:val="003557E9"/>
    <w:rsid w:val="003560BA"/>
    <w:rsid w:val="00362D7D"/>
    <w:rsid w:val="00364CC6"/>
    <w:rsid w:val="003650F6"/>
    <w:rsid w:val="0036726C"/>
    <w:rsid w:val="00371511"/>
    <w:rsid w:val="003812DF"/>
    <w:rsid w:val="003832D2"/>
    <w:rsid w:val="003845E5"/>
    <w:rsid w:val="00386B3A"/>
    <w:rsid w:val="00393137"/>
    <w:rsid w:val="0039615F"/>
    <w:rsid w:val="00397406"/>
    <w:rsid w:val="003A3170"/>
    <w:rsid w:val="003A360E"/>
    <w:rsid w:val="003B3748"/>
    <w:rsid w:val="003D11D5"/>
    <w:rsid w:val="003D17FF"/>
    <w:rsid w:val="003D2871"/>
    <w:rsid w:val="003D2981"/>
    <w:rsid w:val="003D5B83"/>
    <w:rsid w:val="003E6E47"/>
    <w:rsid w:val="003F0623"/>
    <w:rsid w:val="003F33DE"/>
    <w:rsid w:val="003F3A41"/>
    <w:rsid w:val="003F67E9"/>
    <w:rsid w:val="00401031"/>
    <w:rsid w:val="004023B7"/>
    <w:rsid w:val="00402EAE"/>
    <w:rsid w:val="004045A0"/>
    <w:rsid w:val="00413CDB"/>
    <w:rsid w:val="00416E34"/>
    <w:rsid w:val="004200FE"/>
    <w:rsid w:val="0042064F"/>
    <w:rsid w:val="00421183"/>
    <w:rsid w:val="00421BA6"/>
    <w:rsid w:val="00421C17"/>
    <w:rsid w:val="00426CDE"/>
    <w:rsid w:val="00433EA1"/>
    <w:rsid w:val="00437038"/>
    <w:rsid w:val="00441957"/>
    <w:rsid w:val="00443D32"/>
    <w:rsid w:val="004469DD"/>
    <w:rsid w:val="004476B2"/>
    <w:rsid w:val="00447CE5"/>
    <w:rsid w:val="00447D6E"/>
    <w:rsid w:val="0045048F"/>
    <w:rsid w:val="0045181B"/>
    <w:rsid w:val="00452133"/>
    <w:rsid w:val="00452C7A"/>
    <w:rsid w:val="004561D8"/>
    <w:rsid w:val="00456B53"/>
    <w:rsid w:val="00461D62"/>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6E41"/>
    <w:rsid w:val="004B1184"/>
    <w:rsid w:val="004B4A3A"/>
    <w:rsid w:val="004B5CE5"/>
    <w:rsid w:val="004B750E"/>
    <w:rsid w:val="004C2244"/>
    <w:rsid w:val="004C23F1"/>
    <w:rsid w:val="004C696C"/>
    <w:rsid w:val="004D069A"/>
    <w:rsid w:val="004D4092"/>
    <w:rsid w:val="004E01F5"/>
    <w:rsid w:val="004E297E"/>
    <w:rsid w:val="004E59E0"/>
    <w:rsid w:val="004E76CA"/>
    <w:rsid w:val="004F1698"/>
    <w:rsid w:val="00500C4E"/>
    <w:rsid w:val="005033AD"/>
    <w:rsid w:val="00505CEC"/>
    <w:rsid w:val="00506628"/>
    <w:rsid w:val="0051020F"/>
    <w:rsid w:val="00513CAB"/>
    <w:rsid w:val="00516CF5"/>
    <w:rsid w:val="00517FD2"/>
    <w:rsid w:val="00523597"/>
    <w:rsid w:val="00523736"/>
    <w:rsid w:val="005255C9"/>
    <w:rsid w:val="00532530"/>
    <w:rsid w:val="00533FB3"/>
    <w:rsid w:val="0053584E"/>
    <w:rsid w:val="00535CA4"/>
    <w:rsid w:val="0054422B"/>
    <w:rsid w:val="005476F6"/>
    <w:rsid w:val="005513CE"/>
    <w:rsid w:val="00551D72"/>
    <w:rsid w:val="0055288E"/>
    <w:rsid w:val="005540B6"/>
    <w:rsid w:val="005552C3"/>
    <w:rsid w:val="00555944"/>
    <w:rsid w:val="00560934"/>
    <w:rsid w:val="00561E6E"/>
    <w:rsid w:val="0056277A"/>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2C4"/>
    <w:rsid w:val="005C3F23"/>
    <w:rsid w:val="005D0D39"/>
    <w:rsid w:val="005D2C4F"/>
    <w:rsid w:val="005D4DD7"/>
    <w:rsid w:val="005D567E"/>
    <w:rsid w:val="005E00C9"/>
    <w:rsid w:val="005E12A9"/>
    <w:rsid w:val="005E5377"/>
    <w:rsid w:val="005E76FF"/>
    <w:rsid w:val="005F139E"/>
    <w:rsid w:val="005F5CD2"/>
    <w:rsid w:val="005F6547"/>
    <w:rsid w:val="005F69D5"/>
    <w:rsid w:val="006022E7"/>
    <w:rsid w:val="00602353"/>
    <w:rsid w:val="00602799"/>
    <w:rsid w:val="00602F18"/>
    <w:rsid w:val="00607C30"/>
    <w:rsid w:val="006110F3"/>
    <w:rsid w:val="00611257"/>
    <w:rsid w:val="00612041"/>
    <w:rsid w:val="00614AFF"/>
    <w:rsid w:val="00620726"/>
    <w:rsid w:val="00621ABA"/>
    <w:rsid w:val="0062322A"/>
    <w:rsid w:val="00631157"/>
    <w:rsid w:val="006404E6"/>
    <w:rsid w:val="0064680F"/>
    <w:rsid w:val="0064729D"/>
    <w:rsid w:val="00647ABE"/>
    <w:rsid w:val="006516BA"/>
    <w:rsid w:val="00651CA8"/>
    <w:rsid w:val="00652885"/>
    <w:rsid w:val="00664B05"/>
    <w:rsid w:val="00665C04"/>
    <w:rsid w:val="0066682D"/>
    <w:rsid w:val="006746FE"/>
    <w:rsid w:val="00676C70"/>
    <w:rsid w:val="00676E9F"/>
    <w:rsid w:val="00680934"/>
    <w:rsid w:val="00685D5C"/>
    <w:rsid w:val="0069264D"/>
    <w:rsid w:val="00692845"/>
    <w:rsid w:val="0069578B"/>
    <w:rsid w:val="00697345"/>
    <w:rsid w:val="00697868"/>
    <w:rsid w:val="006A055F"/>
    <w:rsid w:val="006A126F"/>
    <w:rsid w:val="006A14E9"/>
    <w:rsid w:val="006A2A65"/>
    <w:rsid w:val="006A5293"/>
    <w:rsid w:val="006A67E4"/>
    <w:rsid w:val="006A6D15"/>
    <w:rsid w:val="006B0DF3"/>
    <w:rsid w:val="006B0F11"/>
    <w:rsid w:val="006B27FA"/>
    <w:rsid w:val="006B4A48"/>
    <w:rsid w:val="006B516E"/>
    <w:rsid w:val="006C2C55"/>
    <w:rsid w:val="006C430A"/>
    <w:rsid w:val="006D2809"/>
    <w:rsid w:val="006D7E3D"/>
    <w:rsid w:val="006E27A3"/>
    <w:rsid w:val="006E3342"/>
    <w:rsid w:val="006E4B12"/>
    <w:rsid w:val="006E65D0"/>
    <w:rsid w:val="006F1B21"/>
    <w:rsid w:val="006F21E8"/>
    <w:rsid w:val="006F78D5"/>
    <w:rsid w:val="0070091B"/>
    <w:rsid w:val="007048AC"/>
    <w:rsid w:val="00706F88"/>
    <w:rsid w:val="00726338"/>
    <w:rsid w:val="00726AD5"/>
    <w:rsid w:val="00733C7D"/>
    <w:rsid w:val="00740761"/>
    <w:rsid w:val="00745F77"/>
    <w:rsid w:val="007464DE"/>
    <w:rsid w:val="007529EA"/>
    <w:rsid w:val="00755A45"/>
    <w:rsid w:val="00760CDC"/>
    <w:rsid w:val="00764D0D"/>
    <w:rsid w:val="00776202"/>
    <w:rsid w:val="00777C53"/>
    <w:rsid w:val="00786E92"/>
    <w:rsid w:val="00790410"/>
    <w:rsid w:val="007933F1"/>
    <w:rsid w:val="0079550A"/>
    <w:rsid w:val="007A5F52"/>
    <w:rsid w:val="007B090A"/>
    <w:rsid w:val="007C61CC"/>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59CE"/>
    <w:rsid w:val="00826688"/>
    <w:rsid w:val="0083369B"/>
    <w:rsid w:val="00835C57"/>
    <w:rsid w:val="00835D38"/>
    <w:rsid w:val="00843763"/>
    <w:rsid w:val="00847A4E"/>
    <w:rsid w:val="00853083"/>
    <w:rsid w:val="00867D8B"/>
    <w:rsid w:val="00871D79"/>
    <w:rsid w:val="0087393E"/>
    <w:rsid w:val="00880692"/>
    <w:rsid w:val="00881A42"/>
    <w:rsid w:val="00882386"/>
    <w:rsid w:val="0088361D"/>
    <w:rsid w:val="00885E0A"/>
    <w:rsid w:val="0088603B"/>
    <w:rsid w:val="008877AF"/>
    <w:rsid w:val="00893D10"/>
    <w:rsid w:val="00893FC3"/>
    <w:rsid w:val="0089577B"/>
    <w:rsid w:val="008B1024"/>
    <w:rsid w:val="008B1357"/>
    <w:rsid w:val="008B2DF3"/>
    <w:rsid w:val="008C2E0E"/>
    <w:rsid w:val="008C4345"/>
    <w:rsid w:val="008C4DE0"/>
    <w:rsid w:val="008D3930"/>
    <w:rsid w:val="008D67F9"/>
    <w:rsid w:val="008D72F3"/>
    <w:rsid w:val="008E0234"/>
    <w:rsid w:val="008E09DF"/>
    <w:rsid w:val="008E17CC"/>
    <w:rsid w:val="008E25B1"/>
    <w:rsid w:val="008E56FB"/>
    <w:rsid w:val="008F2167"/>
    <w:rsid w:val="008F33B4"/>
    <w:rsid w:val="008F546A"/>
    <w:rsid w:val="008F6298"/>
    <w:rsid w:val="008F753B"/>
    <w:rsid w:val="0090077A"/>
    <w:rsid w:val="00900F47"/>
    <w:rsid w:val="00902D00"/>
    <w:rsid w:val="00903C4A"/>
    <w:rsid w:val="00904224"/>
    <w:rsid w:val="00904ADA"/>
    <w:rsid w:val="00907697"/>
    <w:rsid w:val="00910A69"/>
    <w:rsid w:val="009138A0"/>
    <w:rsid w:val="0091424C"/>
    <w:rsid w:val="00916462"/>
    <w:rsid w:val="00917DE4"/>
    <w:rsid w:val="00920905"/>
    <w:rsid w:val="00922B85"/>
    <w:rsid w:val="00930CDC"/>
    <w:rsid w:val="00931E45"/>
    <w:rsid w:val="00933188"/>
    <w:rsid w:val="00934DE3"/>
    <w:rsid w:val="00935AF9"/>
    <w:rsid w:val="009403A5"/>
    <w:rsid w:val="009500DC"/>
    <w:rsid w:val="00951923"/>
    <w:rsid w:val="009729D2"/>
    <w:rsid w:val="00972C81"/>
    <w:rsid w:val="009824E9"/>
    <w:rsid w:val="009826E5"/>
    <w:rsid w:val="009844A1"/>
    <w:rsid w:val="00986E20"/>
    <w:rsid w:val="00993881"/>
    <w:rsid w:val="00995479"/>
    <w:rsid w:val="00995CB0"/>
    <w:rsid w:val="00997E77"/>
    <w:rsid w:val="009A2734"/>
    <w:rsid w:val="009A5E52"/>
    <w:rsid w:val="009B0FD4"/>
    <w:rsid w:val="009B2A02"/>
    <w:rsid w:val="009B2B61"/>
    <w:rsid w:val="009B480A"/>
    <w:rsid w:val="009B5B7B"/>
    <w:rsid w:val="009C1777"/>
    <w:rsid w:val="009C2C86"/>
    <w:rsid w:val="009C2FC8"/>
    <w:rsid w:val="009C6FE0"/>
    <w:rsid w:val="009D0753"/>
    <w:rsid w:val="009D10A4"/>
    <w:rsid w:val="009D5131"/>
    <w:rsid w:val="009D6F71"/>
    <w:rsid w:val="009E1802"/>
    <w:rsid w:val="009E1BAA"/>
    <w:rsid w:val="009E1CDE"/>
    <w:rsid w:val="009E2B06"/>
    <w:rsid w:val="009E3829"/>
    <w:rsid w:val="009E51E2"/>
    <w:rsid w:val="009F7A61"/>
    <w:rsid w:val="00A009BF"/>
    <w:rsid w:val="00A11800"/>
    <w:rsid w:val="00A11C16"/>
    <w:rsid w:val="00A1423E"/>
    <w:rsid w:val="00A17664"/>
    <w:rsid w:val="00A20FAF"/>
    <w:rsid w:val="00A24175"/>
    <w:rsid w:val="00A24520"/>
    <w:rsid w:val="00A3164A"/>
    <w:rsid w:val="00A37F42"/>
    <w:rsid w:val="00A40E3E"/>
    <w:rsid w:val="00A4411F"/>
    <w:rsid w:val="00A500D6"/>
    <w:rsid w:val="00A523FF"/>
    <w:rsid w:val="00A5273C"/>
    <w:rsid w:val="00A54756"/>
    <w:rsid w:val="00A54C66"/>
    <w:rsid w:val="00A555C8"/>
    <w:rsid w:val="00A57D36"/>
    <w:rsid w:val="00A61BB6"/>
    <w:rsid w:val="00A62D7F"/>
    <w:rsid w:val="00A65734"/>
    <w:rsid w:val="00A6687F"/>
    <w:rsid w:val="00A67907"/>
    <w:rsid w:val="00A71127"/>
    <w:rsid w:val="00A73CC1"/>
    <w:rsid w:val="00A80270"/>
    <w:rsid w:val="00A82DB1"/>
    <w:rsid w:val="00A84127"/>
    <w:rsid w:val="00A84551"/>
    <w:rsid w:val="00A84BF9"/>
    <w:rsid w:val="00A85F6C"/>
    <w:rsid w:val="00A86DA2"/>
    <w:rsid w:val="00A90DFC"/>
    <w:rsid w:val="00A90F1A"/>
    <w:rsid w:val="00A91BF3"/>
    <w:rsid w:val="00AA0A9C"/>
    <w:rsid w:val="00AA16C0"/>
    <w:rsid w:val="00AA4CDC"/>
    <w:rsid w:val="00AB21D4"/>
    <w:rsid w:val="00AB21F5"/>
    <w:rsid w:val="00AB2DA4"/>
    <w:rsid w:val="00AB3386"/>
    <w:rsid w:val="00AB36DB"/>
    <w:rsid w:val="00AC0B1D"/>
    <w:rsid w:val="00AC2AB9"/>
    <w:rsid w:val="00AC2F5B"/>
    <w:rsid w:val="00AC3DAD"/>
    <w:rsid w:val="00AC4C7A"/>
    <w:rsid w:val="00AC5309"/>
    <w:rsid w:val="00AC5B97"/>
    <w:rsid w:val="00AD367F"/>
    <w:rsid w:val="00AD4DD0"/>
    <w:rsid w:val="00AE0A8D"/>
    <w:rsid w:val="00AE46A0"/>
    <w:rsid w:val="00AE476A"/>
    <w:rsid w:val="00AF6342"/>
    <w:rsid w:val="00AF7ECA"/>
    <w:rsid w:val="00B030AA"/>
    <w:rsid w:val="00B053FB"/>
    <w:rsid w:val="00B05647"/>
    <w:rsid w:val="00B07EE5"/>
    <w:rsid w:val="00B21CC5"/>
    <w:rsid w:val="00B26778"/>
    <w:rsid w:val="00B26B83"/>
    <w:rsid w:val="00B32479"/>
    <w:rsid w:val="00B32FBB"/>
    <w:rsid w:val="00B33FE2"/>
    <w:rsid w:val="00B403ED"/>
    <w:rsid w:val="00B4065F"/>
    <w:rsid w:val="00B408FB"/>
    <w:rsid w:val="00B45091"/>
    <w:rsid w:val="00B45447"/>
    <w:rsid w:val="00B54BA4"/>
    <w:rsid w:val="00B614F1"/>
    <w:rsid w:val="00B64DD9"/>
    <w:rsid w:val="00B833AE"/>
    <w:rsid w:val="00B84F53"/>
    <w:rsid w:val="00B866B4"/>
    <w:rsid w:val="00B94226"/>
    <w:rsid w:val="00B943E1"/>
    <w:rsid w:val="00BA0A8C"/>
    <w:rsid w:val="00BA0CEB"/>
    <w:rsid w:val="00BA2383"/>
    <w:rsid w:val="00BA2E7E"/>
    <w:rsid w:val="00BA590A"/>
    <w:rsid w:val="00BA5FE4"/>
    <w:rsid w:val="00BB0B39"/>
    <w:rsid w:val="00BB30D1"/>
    <w:rsid w:val="00BB39D8"/>
    <w:rsid w:val="00BB4596"/>
    <w:rsid w:val="00BB5F75"/>
    <w:rsid w:val="00BC6524"/>
    <w:rsid w:val="00BD3931"/>
    <w:rsid w:val="00BD5B88"/>
    <w:rsid w:val="00BD5F58"/>
    <w:rsid w:val="00BE0AEB"/>
    <w:rsid w:val="00BE36AB"/>
    <w:rsid w:val="00BE5814"/>
    <w:rsid w:val="00BF4700"/>
    <w:rsid w:val="00C018E0"/>
    <w:rsid w:val="00C025B2"/>
    <w:rsid w:val="00C05AAF"/>
    <w:rsid w:val="00C1148B"/>
    <w:rsid w:val="00C118C7"/>
    <w:rsid w:val="00C13D9E"/>
    <w:rsid w:val="00C143D9"/>
    <w:rsid w:val="00C20877"/>
    <w:rsid w:val="00C20E7B"/>
    <w:rsid w:val="00C21456"/>
    <w:rsid w:val="00C233D6"/>
    <w:rsid w:val="00C24D03"/>
    <w:rsid w:val="00C25E61"/>
    <w:rsid w:val="00C30E92"/>
    <w:rsid w:val="00C35A1B"/>
    <w:rsid w:val="00C413F3"/>
    <w:rsid w:val="00C54EFF"/>
    <w:rsid w:val="00C55D03"/>
    <w:rsid w:val="00C63548"/>
    <w:rsid w:val="00C63F96"/>
    <w:rsid w:val="00C65450"/>
    <w:rsid w:val="00C677AF"/>
    <w:rsid w:val="00C67E59"/>
    <w:rsid w:val="00C71986"/>
    <w:rsid w:val="00C72B8B"/>
    <w:rsid w:val="00C72CB5"/>
    <w:rsid w:val="00C76D4F"/>
    <w:rsid w:val="00C805BC"/>
    <w:rsid w:val="00C959CA"/>
    <w:rsid w:val="00C95D16"/>
    <w:rsid w:val="00CA2AB4"/>
    <w:rsid w:val="00CB0100"/>
    <w:rsid w:val="00CB04D2"/>
    <w:rsid w:val="00CC6C1C"/>
    <w:rsid w:val="00CC6D72"/>
    <w:rsid w:val="00CD7EFE"/>
    <w:rsid w:val="00CE0C66"/>
    <w:rsid w:val="00CE28CF"/>
    <w:rsid w:val="00CE4386"/>
    <w:rsid w:val="00CE4CDC"/>
    <w:rsid w:val="00CE5BEB"/>
    <w:rsid w:val="00CE69E9"/>
    <w:rsid w:val="00CE71F2"/>
    <w:rsid w:val="00CF3F65"/>
    <w:rsid w:val="00CF464D"/>
    <w:rsid w:val="00CF5257"/>
    <w:rsid w:val="00D17EF4"/>
    <w:rsid w:val="00D23770"/>
    <w:rsid w:val="00D25074"/>
    <w:rsid w:val="00D302FE"/>
    <w:rsid w:val="00D30A60"/>
    <w:rsid w:val="00D34517"/>
    <w:rsid w:val="00D36798"/>
    <w:rsid w:val="00D41EFF"/>
    <w:rsid w:val="00D47E80"/>
    <w:rsid w:val="00D50E8B"/>
    <w:rsid w:val="00D53950"/>
    <w:rsid w:val="00D543A5"/>
    <w:rsid w:val="00D70563"/>
    <w:rsid w:val="00D70D89"/>
    <w:rsid w:val="00D72051"/>
    <w:rsid w:val="00D7380B"/>
    <w:rsid w:val="00D75D77"/>
    <w:rsid w:val="00D7639E"/>
    <w:rsid w:val="00D835EF"/>
    <w:rsid w:val="00D85F09"/>
    <w:rsid w:val="00D86A9D"/>
    <w:rsid w:val="00DA089A"/>
    <w:rsid w:val="00DA0918"/>
    <w:rsid w:val="00DA11A0"/>
    <w:rsid w:val="00DA2822"/>
    <w:rsid w:val="00DA5082"/>
    <w:rsid w:val="00DA690B"/>
    <w:rsid w:val="00DA7225"/>
    <w:rsid w:val="00DB0E6B"/>
    <w:rsid w:val="00DB44E9"/>
    <w:rsid w:val="00DB57C3"/>
    <w:rsid w:val="00DC162F"/>
    <w:rsid w:val="00DC1966"/>
    <w:rsid w:val="00DC3259"/>
    <w:rsid w:val="00DD0523"/>
    <w:rsid w:val="00DD7178"/>
    <w:rsid w:val="00DE5758"/>
    <w:rsid w:val="00DE5FCF"/>
    <w:rsid w:val="00DE6843"/>
    <w:rsid w:val="00DF0D19"/>
    <w:rsid w:val="00DF2EE9"/>
    <w:rsid w:val="00DF6FD8"/>
    <w:rsid w:val="00E05A80"/>
    <w:rsid w:val="00E06A37"/>
    <w:rsid w:val="00E071A5"/>
    <w:rsid w:val="00E07752"/>
    <w:rsid w:val="00E16609"/>
    <w:rsid w:val="00E16F08"/>
    <w:rsid w:val="00E21309"/>
    <w:rsid w:val="00E233F3"/>
    <w:rsid w:val="00E26B34"/>
    <w:rsid w:val="00E30FBB"/>
    <w:rsid w:val="00E314BA"/>
    <w:rsid w:val="00E325BE"/>
    <w:rsid w:val="00E326BA"/>
    <w:rsid w:val="00E34202"/>
    <w:rsid w:val="00E37F72"/>
    <w:rsid w:val="00E40BE5"/>
    <w:rsid w:val="00E40CF9"/>
    <w:rsid w:val="00E42A30"/>
    <w:rsid w:val="00E464D9"/>
    <w:rsid w:val="00E52DF5"/>
    <w:rsid w:val="00E5625D"/>
    <w:rsid w:val="00E648BB"/>
    <w:rsid w:val="00E653B0"/>
    <w:rsid w:val="00E67ACA"/>
    <w:rsid w:val="00E76B31"/>
    <w:rsid w:val="00E81F3E"/>
    <w:rsid w:val="00E844BB"/>
    <w:rsid w:val="00E84C48"/>
    <w:rsid w:val="00E859BD"/>
    <w:rsid w:val="00E86B70"/>
    <w:rsid w:val="00E87C8F"/>
    <w:rsid w:val="00E924C3"/>
    <w:rsid w:val="00E954EE"/>
    <w:rsid w:val="00E9619C"/>
    <w:rsid w:val="00E96759"/>
    <w:rsid w:val="00EA4437"/>
    <w:rsid w:val="00EA4D87"/>
    <w:rsid w:val="00EA6B45"/>
    <w:rsid w:val="00EB34FC"/>
    <w:rsid w:val="00EB69C3"/>
    <w:rsid w:val="00EB76E1"/>
    <w:rsid w:val="00EC2499"/>
    <w:rsid w:val="00ED1C02"/>
    <w:rsid w:val="00EE29DF"/>
    <w:rsid w:val="00EE3703"/>
    <w:rsid w:val="00EE4120"/>
    <w:rsid w:val="00EF2E8A"/>
    <w:rsid w:val="00EF4E6B"/>
    <w:rsid w:val="00EF5416"/>
    <w:rsid w:val="00EF5E52"/>
    <w:rsid w:val="00F06CCF"/>
    <w:rsid w:val="00F1053D"/>
    <w:rsid w:val="00F110D5"/>
    <w:rsid w:val="00F11E63"/>
    <w:rsid w:val="00F12733"/>
    <w:rsid w:val="00F171E1"/>
    <w:rsid w:val="00F20DCF"/>
    <w:rsid w:val="00F227FD"/>
    <w:rsid w:val="00F25B36"/>
    <w:rsid w:val="00F3052A"/>
    <w:rsid w:val="00F341E3"/>
    <w:rsid w:val="00F35D09"/>
    <w:rsid w:val="00F376F2"/>
    <w:rsid w:val="00F4304D"/>
    <w:rsid w:val="00F46612"/>
    <w:rsid w:val="00F474EF"/>
    <w:rsid w:val="00F4752B"/>
    <w:rsid w:val="00F476E8"/>
    <w:rsid w:val="00F541AE"/>
    <w:rsid w:val="00F56792"/>
    <w:rsid w:val="00F57022"/>
    <w:rsid w:val="00F571A6"/>
    <w:rsid w:val="00F6018B"/>
    <w:rsid w:val="00F60265"/>
    <w:rsid w:val="00F60E32"/>
    <w:rsid w:val="00F644FF"/>
    <w:rsid w:val="00F65ABA"/>
    <w:rsid w:val="00F65E15"/>
    <w:rsid w:val="00F70B5D"/>
    <w:rsid w:val="00F7242E"/>
    <w:rsid w:val="00F74B33"/>
    <w:rsid w:val="00F75659"/>
    <w:rsid w:val="00F810DD"/>
    <w:rsid w:val="00F918C9"/>
    <w:rsid w:val="00F95E2F"/>
    <w:rsid w:val="00F96DEB"/>
    <w:rsid w:val="00FA1872"/>
    <w:rsid w:val="00FA4F34"/>
    <w:rsid w:val="00FB2590"/>
    <w:rsid w:val="00FC140D"/>
    <w:rsid w:val="00FD5A8C"/>
    <w:rsid w:val="00FD744F"/>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F77E0EA"/>
  <w15:docId w15:val="{FEE70F3D-3E59-4360-A07F-0BBA4F1C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1995702">
      <w:bodyDiv w:val="1"/>
      <w:marLeft w:val="0"/>
      <w:marRight w:val="0"/>
      <w:marTop w:val="0"/>
      <w:marBottom w:val="0"/>
      <w:divBdr>
        <w:top w:val="none" w:sz="0" w:space="0" w:color="auto"/>
        <w:left w:val="none" w:sz="0" w:space="0" w:color="auto"/>
        <w:bottom w:val="none" w:sz="0" w:space="0" w:color="auto"/>
        <w:right w:val="none" w:sz="0" w:space="0" w:color="auto"/>
      </w:divBdr>
    </w:div>
    <w:div w:id="101662023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11473383">
      <w:bodyDiv w:val="1"/>
      <w:marLeft w:val="0"/>
      <w:marRight w:val="0"/>
      <w:marTop w:val="0"/>
      <w:marBottom w:val="0"/>
      <w:divBdr>
        <w:top w:val="none" w:sz="0" w:space="0" w:color="auto"/>
        <w:left w:val="none" w:sz="0" w:space="0" w:color="auto"/>
        <w:bottom w:val="none" w:sz="0" w:space="0" w:color="auto"/>
        <w:right w:val="none" w:sz="0" w:space="0" w:color="auto"/>
      </w:divBdr>
    </w:div>
    <w:div w:id="203588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534EA"/>
    <w:rsid w:val="00067A1D"/>
    <w:rsid w:val="000A1EAF"/>
    <w:rsid w:val="00137037"/>
    <w:rsid w:val="00146151"/>
    <w:rsid w:val="001E5475"/>
    <w:rsid w:val="00204A7F"/>
    <w:rsid w:val="002B514B"/>
    <w:rsid w:val="002C0C03"/>
    <w:rsid w:val="00311B0D"/>
    <w:rsid w:val="0031712A"/>
    <w:rsid w:val="00385591"/>
    <w:rsid w:val="003A131F"/>
    <w:rsid w:val="004A4F16"/>
    <w:rsid w:val="00560392"/>
    <w:rsid w:val="005E6A11"/>
    <w:rsid w:val="00624346"/>
    <w:rsid w:val="00652B45"/>
    <w:rsid w:val="006B052E"/>
    <w:rsid w:val="006B7FA8"/>
    <w:rsid w:val="008211B5"/>
    <w:rsid w:val="00826E5E"/>
    <w:rsid w:val="00874653"/>
    <w:rsid w:val="008B6489"/>
    <w:rsid w:val="009B4310"/>
    <w:rsid w:val="009D5D4E"/>
    <w:rsid w:val="00A5022A"/>
    <w:rsid w:val="00A8792A"/>
    <w:rsid w:val="00AE4C28"/>
    <w:rsid w:val="00AF2C4B"/>
    <w:rsid w:val="00B73964"/>
    <w:rsid w:val="00B74704"/>
    <w:rsid w:val="00BB3D18"/>
    <w:rsid w:val="00BB7DA5"/>
    <w:rsid w:val="00C55F08"/>
    <w:rsid w:val="00C947B8"/>
    <w:rsid w:val="00D0496D"/>
    <w:rsid w:val="00D051F5"/>
    <w:rsid w:val="00DB0586"/>
    <w:rsid w:val="00E11523"/>
    <w:rsid w:val="00EB69F0"/>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91F745-7F03-40FE-99B7-F95633FAE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2553</Words>
  <Characters>14553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SCE17RN024</vt:lpstr>
    </vt:vector>
  </TitlesOfParts>
  <Company>Southern California Edison</Company>
  <LinksUpToDate>false</LinksUpToDate>
  <CharactersWithSpaces>17072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SCE17RN024</dc:title>
  <dc:creator>Jim Wyatt (PG&amp;E);Jason Wang (SCE)</dc:creator>
  <cp:lastModifiedBy>Scott Mitchell</cp:lastModifiedBy>
  <cp:revision>4</cp:revision>
  <dcterms:created xsi:type="dcterms:W3CDTF">2016-12-15T17:11:00Z</dcterms:created>
  <dcterms:modified xsi:type="dcterms:W3CDTF">2016-12-30T00:43:00Z</dcterms:modified>
  <cp:contentStatus>Revision 0</cp:contentStatus>
</cp:coreProperties>
</file>